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424" w14:textId="77777777" w:rsidR="00EA66AF" w:rsidRDefault="00EA66AF" w:rsidP="00A87A47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8596965" w14:textId="071100AE" w:rsidR="00EA66AF" w:rsidRPr="008F2DF6" w:rsidRDefault="00EA66AF" w:rsidP="00EA66A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F2DF6">
        <w:rPr>
          <w:rFonts w:ascii="標楷體" w:eastAsia="標楷體" w:hAnsi="標楷體" w:cs="新細明體" w:hint="eastAsia"/>
          <w:kern w:val="0"/>
          <w:szCs w:val="24"/>
        </w:rPr>
        <w:t>主旨：</w:t>
      </w:r>
      <w:r w:rsidRPr="008F2DF6">
        <w:rPr>
          <w:rFonts w:ascii="標楷體" w:eastAsia="標楷體" w:hAnsi="標楷體" w:cs="新細明體"/>
          <w:kern w:val="0"/>
          <w:szCs w:val="24"/>
        </w:rPr>
        <w:t>檢陳本校</w:t>
      </w:r>
      <w:r w:rsidR="001F395E">
        <w:rPr>
          <w:rFonts w:ascii="標楷體" w:eastAsia="標楷體" w:hAnsi="標楷體" w:cs="新細明體" w:hint="eastAsia"/>
          <w:kern w:val="0"/>
          <w:szCs w:val="24"/>
        </w:rPr>
        <w:t>OOOO</w:t>
      </w:r>
      <w:r w:rsidR="00AF492C">
        <w:rPr>
          <w:rFonts w:ascii="標楷體" w:eastAsia="標楷體" w:hAnsi="標楷體" w:cs="新細明體" w:hint="eastAsia"/>
          <w:kern w:val="0"/>
          <w:szCs w:val="24"/>
        </w:rPr>
        <w:t>(法規名稱)</w:t>
      </w:r>
      <w:r w:rsidRPr="008F2DF6">
        <w:rPr>
          <w:rFonts w:ascii="標楷體" w:eastAsia="標楷體" w:hAnsi="標楷體" w:cs="新細明體"/>
          <w:kern w:val="0"/>
          <w:szCs w:val="24"/>
        </w:rPr>
        <w:t>修正案，請鑒核。</w:t>
      </w:r>
    </w:p>
    <w:p w14:paraId="592D1012" w14:textId="77777777" w:rsidR="00EA66AF" w:rsidRPr="008F2DF6" w:rsidRDefault="00EA66AF" w:rsidP="00EA66AF">
      <w:pPr>
        <w:tabs>
          <w:tab w:val="left" w:pos="1134"/>
        </w:tabs>
        <w:rPr>
          <w:rFonts w:ascii="標楷體" w:eastAsia="標楷體" w:hAnsi="標楷體"/>
        </w:rPr>
      </w:pPr>
      <w:r w:rsidRPr="008F2DF6">
        <w:rPr>
          <w:rFonts w:ascii="標楷體" w:eastAsia="標楷體" w:hAnsi="標楷體" w:hint="eastAsia"/>
        </w:rPr>
        <w:t>說明：</w:t>
      </w:r>
    </w:p>
    <w:p w14:paraId="30CE6E36" w14:textId="0CF69A4B" w:rsidR="00EA66AF" w:rsidRPr="008F2DF6" w:rsidRDefault="00EA66AF" w:rsidP="00EA66AF">
      <w:pPr>
        <w:tabs>
          <w:tab w:val="left" w:pos="1134"/>
        </w:tabs>
        <w:ind w:left="720" w:hangingChars="300" w:hanging="720"/>
        <w:rPr>
          <w:rFonts w:ascii="標楷體" w:eastAsia="標楷體" w:hAnsi="標楷體"/>
          <w:bCs/>
          <w:spacing w:val="-3"/>
        </w:rPr>
      </w:pPr>
      <w:r w:rsidRPr="008F2DF6">
        <w:rPr>
          <w:rFonts w:ascii="標楷體" w:eastAsia="標楷體" w:hAnsi="標楷體" w:hint="eastAsia"/>
        </w:rPr>
        <w:t xml:space="preserve">  一、</w:t>
      </w:r>
      <w:r w:rsidRPr="008F2DF6">
        <w:rPr>
          <w:rFonts w:ascii="標楷體" w:eastAsia="標楷體" w:hAnsi="標楷體" w:cs="DFKaiShu-SB-Estd-BF" w:hint="eastAsia"/>
          <w:kern w:val="0"/>
        </w:rPr>
        <w:t>依教育部訂頒「專科以上學校進用編制外專任教學人員實施原則」明定編制外專任教學人員之定義，配合修正本校「</w:t>
      </w:r>
      <w:r w:rsidR="00AF492C" w:rsidRPr="00AF492C">
        <w:rPr>
          <w:rFonts w:ascii="標楷體" w:eastAsia="標楷體" w:hAnsi="標楷體" w:cs="新細明體" w:hint="eastAsia"/>
          <w:kern w:val="0"/>
          <w:szCs w:val="24"/>
        </w:rPr>
        <w:t>編制外專任教學人員評鑑要點</w:t>
      </w:r>
      <w:r w:rsidR="00AF492C" w:rsidRPr="00AF492C">
        <w:rPr>
          <w:rFonts w:ascii="標楷體" w:eastAsia="標楷體" w:hAnsi="標楷體" w:cs="新細明體"/>
          <w:kern w:val="0"/>
          <w:szCs w:val="24"/>
        </w:rPr>
        <w:t>修正</w:t>
      </w:r>
      <w:r w:rsidRPr="008F2DF6">
        <w:rPr>
          <w:rFonts w:ascii="標楷體" w:eastAsia="標楷體" w:hAnsi="標楷體" w:hint="eastAsia"/>
          <w:bCs/>
          <w:spacing w:val="-3"/>
        </w:rPr>
        <w:t>」中專案教師名稱。</w:t>
      </w:r>
    </w:p>
    <w:p w14:paraId="7A66E821" w14:textId="456F4C5C" w:rsidR="00EA66AF" w:rsidRPr="008F2DF6" w:rsidRDefault="00EA66AF" w:rsidP="00EA66AF">
      <w:pPr>
        <w:ind w:left="702" w:hangingChars="300" w:hanging="70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bCs/>
          <w:spacing w:val="-3"/>
        </w:rPr>
        <w:t xml:space="preserve">  </w:t>
      </w:r>
      <w:r w:rsidRPr="008F2DF6">
        <w:rPr>
          <w:rFonts w:ascii="標楷體" w:eastAsia="標楷體" w:hAnsi="標楷體" w:hint="eastAsia"/>
          <w:bCs/>
          <w:spacing w:val="-3"/>
        </w:rPr>
        <w:t>二、</w:t>
      </w:r>
      <w:r w:rsidRPr="008F2DF6">
        <w:rPr>
          <w:rFonts w:ascii="標楷體" w:eastAsia="標楷體" w:hAnsi="標楷體" w:cs="新細明體"/>
          <w:kern w:val="0"/>
          <w:szCs w:val="24"/>
        </w:rPr>
        <w:t>檢附本校</w:t>
      </w:r>
      <w:r w:rsidR="00AF492C" w:rsidRPr="00AF492C">
        <w:rPr>
          <w:rFonts w:ascii="標楷體" w:eastAsia="標楷體" w:hAnsi="標楷體" w:cs="新細明體" w:hint="eastAsia"/>
          <w:kern w:val="0"/>
          <w:szCs w:val="24"/>
        </w:rPr>
        <w:t>編制外專任教學人員評鑑要點</w:t>
      </w:r>
      <w:r w:rsidR="00AF492C" w:rsidRPr="00AF492C">
        <w:rPr>
          <w:rFonts w:ascii="標楷體" w:eastAsia="標楷體" w:hAnsi="標楷體" w:cs="新細明體"/>
          <w:kern w:val="0"/>
          <w:szCs w:val="24"/>
        </w:rPr>
        <w:t>修正</w:t>
      </w:r>
      <w:r w:rsidRPr="008F2DF6">
        <w:rPr>
          <w:rFonts w:ascii="標楷體" w:eastAsia="標楷體" w:hAnsi="標楷體" w:cs="新細明體"/>
          <w:kern w:val="0"/>
          <w:szCs w:val="24"/>
        </w:rPr>
        <w:t>對照表及修正草案各一件。</w:t>
      </w:r>
    </w:p>
    <w:p w14:paraId="58E42403" w14:textId="77777777" w:rsidR="00EA66AF" w:rsidRPr="008F2DF6" w:rsidRDefault="00EA66AF" w:rsidP="00EA66AF">
      <w:pPr>
        <w:tabs>
          <w:tab w:val="left" w:pos="1134"/>
        </w:tabs>
        <w:rPr>
          <w:rFonts w:ascii="標楷體" w:eastAsia="標楷體" w:hAnsi="標楷體"/>
        </w:rPr>
      </w:pPr>
      <w:r w:rsidRPr="008F2DF6">
        <w:rPr>
          <w:rFonts w:ascii="標楷體" w:eastAsia="標楷體" w:hAnsi="標楷體" w:hint="eastAsia"/>
        </w:rPr>
        <w:t>擬辦：</w:t>
      </w:r>
      <w:r>
        <w:rPr>
          <w:rFonts w:ascii="標楷體" w:eastAsia="標楷體" w:hAnsi="標楷體" w:hint="eastAsia"/>
        </w:rPr>
        <w:t>奉核</w:t>
      </w:r>
      <w:proofErr w:type="gramStart"/>
      <w:r>
        <w:rPr>
          <w:rFonts w:ascii="標楷體" w:eastAsia="標楷體" w:hAnsi="標楷體" w:hint="eastAsia"/>
        </w:rPr>
        <w:t>後提校教</w:t>
      </w:r>
      <w:proofErr w:type="gramEnd"/>
      <w:r>
        <w:rPr>
          <w:rFonts w:ascii="標楷體" w:eastAsia="標楷體" w:hAnsi="標楷體" w:hint="eastAsia"/>
        </w:rPr>
        <w:t>評會審議。</w:t>
      </w:r>
    </w:p>
    <w:p w14:paraId="6BDFCC77" w14:textId="77777777" w:rsidR="00EA66AF" w:rsidRDefault="00EA66A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14:paraId="7A269926" w14:textId="33DE228A" w:rsidR="00E96758" w:rsidRPr="00033DC8" w:rsidRDefault="00E96758" w:rsidP="00A87A47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提案單位：人事室</w:t>
      </w:r>
    </w:p>
    <w:p w14:paraId="35CE3DDE" w14:textId="2CDEE301" w:rsidR="006F10CC" w:rsidRPr="00033DC8" w:rsidRDefault="00E96758" w:rsidP="00CD320E">
      <w:pPr>
        <w:widowControl/>
        <w:spacing w:line="44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案由</w:t>
      </w:r>
      <w:r w:rsidR="006F10CC" w:rsidRPr="00033DC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15AAC">
        <w:rPr>
          <w:rFonts w:ascii="標楷體" w:eastAsia="標楷體" w:hAnsi="標楷體" w:cs="新細明體" w:hint="eastAsia"/>
          <w:kern w:val="0"/>
          <w:sz w:val="28"/>
          <w:szCs w:val="28"/>
        </w:rPr>
        <w:t>有關</w:t>
      </w:r>
      <w:r w:rsidR="00B53D5D" w:rsidRPr="00B53D5D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bookmarkStart w:id="0" w:name="_Hlk150161219"/>
      <w:r w:rsidR="00FE5D32" w:rsidRPr="00FE5D32">
        <w:rPr>
          <w:rFonts w:ascii="標楷體" w:eastAsia="標楷體" w:hAnsi="標楷體" w:cs="新細明體" w:hint="eastAsia"/>
          <w:kern w:val="0"/>
          <w:sz w:val="28"/>
          <w:szCs w:val="28"/>
        </w:rPr>
        <w:t>編制外專任教學人員評鑑要點</w:t>
      </w:r>
      <w:bookmarkEnd w:id="0"/>
      <w:r w:rsidR="00F4049B">
        <w:rPr>
          <w:rFonts w:ascii="標楷體" w:eastAsia="標楷體" w:hAnsi="標楷體" w:cs="新細明體"/>
          <w:kern w:val="0"/>
          <w:sz w:val="28"/>
          <w:szCs w:val="28"/>
        </w:rPr>
        <w:t>修正</w:t>
      </w:r>
      <w:r w:rsidR="002F61C9">
        <w:rPr>
          <w:rFonts w:ascii="標楷體" w:eastAsia="標楷體" w:hAnsi="標楷體" w:cs="新細明體" w:hint="eastAsia"/>
          <w:kern w:val="0"/>
          <w:sz w:val="28"/>
          <w:szCs w:val="28"/>
        </w:rPr>
        <w:t>一案</w:t>
      </w:r>
      <w:r w:rsidR="006F10CC" w:rsidRPr="00033DC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F10CC" w:rsidRPr="00033DC8">
        <w:rPr>
          <w:rFonts w:ascii="標楷體" w:eastAsia="標楷體" w:hAnsi="標楷體" w:cs="新細明體"/>
          <w:kern w:val="0"/>
          <w:sz w:val="28"/>
          <w:szCs w:val="28"/>
        </w:rPr>
        <w:t>請審議</w:t>
      </w:r>
      <w:r w:rsidR="006F10CC" w:rsidRPr="00033DC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4283940" w14:textId="77777777" w:rsidR="006F10CC" w:rsidRPr="00033DC8" w:rsidRDefault="006F10CC" w:rsidP="00A87A47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3DC8">
        <w:rPr>
          <w:rFonts w:ascii="標楷體" w:eastAsia="標楷體" w:hAnsi="標楷體" w:cs="新細明體"/>
          <w:kern w:val="0"/>
          <w:sz w:val="28"/>
          <w:szCs w:val="28"/>
        </w:rPr>
        <w:t>說明</w:t>
      </w:r>
      <w:r w:rsidRPr="00033DC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3173C94F" w14:textId="77777777" w:rsidR="00B53D5D" w:rsidRPr="00BB7E48" w:rsidRDefault="00BB2111" w:rsidP="005C6F32">
      <w:pPr>
        <w:widowControl/>
        <w:spacing w:line="440" w:lineRule="exact"/>
        <w:ind w:leftChars="121" w:left="850" w:hangingChars="200" w:hanging="560"/>
        <w:rPr>
          <w:rFonts w:ascii="標楷體" w:eastAsia="標楷體" w:hAnsi="標楷體" w:cs="新細明體"/>
          <w:kern w:val="0"/>
          <w:szCs w:val="24"/>
        </w:rPr>
      </w:pPr>
      <w:r w:rsidRPr="00396064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bookmarkStart w:id="1" w:name="_Hlk153551547"/>
      <w:r w:rsidR="00B53D5D" w:rsidRPr="00BB7E48">
        <w:rPr>
          <w:rFonts w:ascii="標楷體" w:eastAsia="標楷體" w:hAnsi="標楷體" w:cs="新細明體" w:hint="eastAsia"/>
          <w:kern w:val="0"/>
          <w:szCs w:val="24"/>
        </w:rPr>
        <w:t>依教育部訂頒「專科以上學校進用編制外專任教學人員實施原則」明定編制外專任教學人員之定義，配合修正</w:t>
      </w:r>
      <w:proofErr w:type="gramStart"/>
      <w:r w:rsidR="00B53D5D" w:rsidRPr="00BB7E48">
        <w:rPr>
          <w:rFonts w:ascii="標楷體" w:eastAsia="標楷體" w:hAnsi="標楷體" w:cs="新細明體" w:hint="eastAsia"/>
          <w:kern w:val="0"/>
          <w:szCs w:val="24"/>
        </w:rPr>
        <w:t>旨揭管理</w:t>
      </w:r>
      <w:proofErr w:type="gramEnd"/>
      <w:r w:rsidR="00B53D5D" w:rsidRPr="00BB7E48">
        <w:rPr>
          <w:rFonts w:ascii="標楷體" w:eastAsia="標楷體" w:hAnsi="標楷體" w:cs="新細明體" w:hint="eastAsia"/>
          <w:kern w:val="0"/>
          <w:szCs w:val="24"/>
        </w:rPr>
        <w:t>要點專案教師名稱</w:t>
      </w:r>
      <w:proofErr w:type="gramStart"/>
      <w:r w:rsidR="00B53D5D" w:rsidRPr="00BB7E48">
        <w:rPr>
          <w:rFonts w:ascii="標楷體" w:eastAsia="標楷體" w:hAnsi="標楷體" w:cs="新細明體" w:hint="eastAsia"/>
          <w:kern w:val="0"/>
          <w:szCs w:val="24"/>
        </w:rPr>
        <w:t>及酌作</w:t>
      </w:r>
      <w:proofErr w:type="gramEnd"/>
      <w:r w:rsidR="00B53D5D" w:rsidRPr="00BB7E48">
        <w:rPr>
          <w:rFonts w:ascii="標楷體" w:eastAsia="標楷體" w:hAnsi="標楷體" w:cs="新細明體" w:hint="eastAsia"/>
          <w:kern w:val="0"/>
          <w:szCs w:val="24"/>
        </w:rPr>
        <w:t>文字修正。</w:t>
      </w:r>
      <w:bookmarkEnd w:id="1"/>
    </w:p>
    <w:p w14:paraId="33E207D8" w14:textId="36C16097" w:rsidR="00B36AC0" w:rsidRPr="00BB7E48" w:rsidRDefault="00B53D5D" w:rsidP="005C6F32">
      <w:pPr>
        <w:widowControl/>
        <w:spacing w:line="440" w:lineRule="exact"/>
        <w:ind w:leftChars="121" w:left="77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BB7E48">
        <w:rPr>
          <w:rFonts w:ascii="標楷體" w:eastAsia="標楷體" w:hAnsi="標楷體" w:cs="新細明體" w:hint="eastAsia"/>
          <w:kern w:val="0"/>
          <w:szCs w:val="24"/>
        </w:rPr>
        <w:t>二、檢附本校</w:t>
      </w:r>
      <w:r w:rsidR="00FE5D32" w:rsidRPr="00BB7E48">
        <w:rPr>
          <w:rFonts w:ascii="標楷體" w:eastAsia="標楷體" w:hAnsi="標楷體" w:cs="新細明體" w:hint="eastAsia"/>
          <w:kern w:val="0"/>
          <w:szCs w:val="24"/>
        </w:rPr>
        <w:t>編制外專任教學人員評鑑要點</w:t>
      </w:r>
      <w:r w:rsidRPr="00BB7E48">
        <w:rPr>
          <w:rFonts w:ascii="標楷體" w:eastAsia="標楷體" w:hAnsi="標楷體" w:cs="新細明體" w:hint="eastAsia"/>
          <w:kern w:val="0"/>
          <w:szCs w:val="24"/>
        </w:rPr>
        <w:t>修正對照表、修正全文。</w:t>
      </w:r>
    </w:p>
    <w:p w14:paraId="13D94BDE" w14:textId="12402FC9" w:rsidR="00C07406" w:rsidRPr="00BB7E48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</w:p>
    <w:p w14:paraId="4375E4F9" w14:textId="1CDDEBB7" w:rsidR="00C07406" w:rsidRPr="00FE5D32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8A89B5C" w14:textId="475CBDA9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BE4E0CC" w14:textId="2690DB3C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E376092" w14:textId="4D80775D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46FF8B6" w14:textId="66A5345C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AD689E2" w14:textId="4374827C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7BEB1BA" w14:textId="19B50EE1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088D34" w14:textId="2D1DD7F6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CF2CA90" w14:textId="3951DA1E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42988A4" w14:textId="186BC9F5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A2F6F54" w14:textId="08CED39E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1990FAC" w14:textId="67FAE098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E872062" w14:textId="40F20387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F7E272A" w14:textId="45B136EC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A94CC35" w14:textId="2A72F017" w:rsidR="00FE5D32" w:rsidRDefault="00FE5D32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6716977" w14:textId="77777777" w:rsidR="00C07406" w:rsidRDefault="00C07406" w:rsidP="00B53D5D">
      <w:pPr>
        <w:widowControl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15091011" w14:textId="69F99ACB" w:rsidR="00C07406" w:rsidRPr="0044128C" w:rsidRDefault="00C07406" w:rsidP="0044128C">
      <w:pPr>
        <w:widowControl/>
        <w:snapToGrid w:val="0"/>
        <w:spacing w:afterLines="100" w:after="360" w:line="44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44128C">
        <w:rPr>
          <w:rFonts w:ascii="標楷體" w:eastAsia="標楷體" w:hAnsi="標楷體" w:hint="eastAsia"/>
          <w:sz w:val="32"/>
          <w:szCs w:val="32"/>
        </w:rPr>
        <w:t>國立雲林科技大學</w:t>
      </w:r>
      <w:r w:rsidRPr="0044128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編制外專任教學人員</w:t>
      </w:r>
      <w:r w:rsidR="00FE5D32" w:rsidRPr="0044128C">
        <w:rPr>
          <w:rFonts w:ascii="標楷體" w:eastAsia="標楷體" w:hAnsi="標楷體" w:hint="eastAsia"/>
          <w:sz w:val="32"/>
          <w:szCs w:val="32"/>
        </w:rPr>
        <w:t>評鑑</w:t>
      </w:r>
      <w:r w:rsidRPr="0044128C">
        <w:rPr>
          <w:rFonts w:ascii="標楷體" w:eastAsia="標楷體" w:hAnsi="標楷體" w:hint="eastAsia"/>
          <w:sz w:val="32"/>
          <w:szCs w:val="32"/>
        </w:rPr>
        <w:t>要點修正草案對照表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5"/>
        <w:gridCol w:w="3317"/>
        <w:gridCol w:w="2432"/>
      </w:tblGrid>
      <w:tr w:rsidR="00C07406" w14:paraId="7AB4E97C" w14:textId="77777777" w:rsidTr="0044128C">
        <w:tc>
          <w:tcPr>
            <w:tcW w:w="3425" w:type="dxa"/>
          </w:tcPr>
          <w:p w14:paraId="6D05C3C3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修　正　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定　名　稱</w:t>
            </w:r>
          </w:p>
        </w:tc>
        <w:tc>
          <w:tcPr>
            <w:tcW w:w="3317" w:type="dxa"/>
          </w:tcPr>
          <w:p w14:paraId="11341092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　行　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定　名　稱</w:t>
            </w:r>
          </w:p>
        </w:tc>
        <w:tc>
          <w:tcPr>
            <w:tcW w:w="2432" w:type="dxa"/>
          </w:tcPr>
          <w:p w14:paraId="156C66EA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　　　　明</w:t>
            </w:r>
          </w:p>
        </w:tc>
      </w:tr>
      <w:tr w:rsidR="00C07406" w14:paraId="1D4CBA1B" w14:textId="77777777" w:rsidTr="0044128C">
        <w:tc>
          <w:tcPr>
            <w:tcW w:w="3425" w:type="dxa"/>
          </w:tcPr>
          <w:p w14:paraId="096E2905" w14:textId="1EA6AC48" w:rsidR="00C07406" w:rsidRDefault="00C07406" w:rsidP="00807B29">
            <w:pPr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>國立雲林科技大學</w:t>
            </w:r>
            <w:r w:rsidRPr="004A3697">
              <w:rPr>
                <w:rFonts w:ascii="標楷體" w:eastAsia="標楷體" w:hAnsi="標楷體" w:hint="eastAsia"/>
                <w:color w:val="FF0000"/>
                <w:u w:val="single"/>
              </w:rPr>
              <w:t>編制外專任教學人員</w:t>
            </w:r>
            <w:r w:rsidR="00FE5D32" w:rsidRPr="00FE5D32">
              <w:rPr>
                <w:rFonts w:ascii="標楷體" w:eastAsia="標楷體" w:hAnsi="標楷體" w:hint="eastAsia"/>
              </w:rPr>
              <w:t>評鑑</w:t>
            </w:r>
            <w:r w:rsidRPr="004A3697">
              <w:rPr>
                <w:rFonts w:ascii="標楷體" w:eastAsia="標楷體" w:hAnsi="標楷體" w:hint="eastAsia"/>
              </w:rPr>
              <w:t>要點</w:t>
            </w:r>
          </w:p>
        </w:tc>
        <w:tc>
          <w:tcPr>
            <w:tcW w:w="3317" w:type="dxa"/>
          </w:tcPr>
          <w:p w14:paraId="622858BD" w14:textId="10B8C3A0" w:rsidR="00C07406" w:rsidRDefault="00C07406" w:rsidP="00807B29">
            <w:pPr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>國立雲林科技大學</w:t>
            </w:r>
            <w:r w:rsidRPr="004A3697">
              <w:rPr>
                <w:rFonts w:ascii="標楷體" w:eastAsia="標楷體" w:hAnsi="標楷體" w:hint="eastAsia"/>
                <w:color w:val="FF0000"/>
                <w:u w:val="single"/>
              </w:rPr>
              <w:t>專案教師</w:t>
            </w:r>
            <w:r w:rsidR="00FE5D32" w:rsidRPr="00FE5D32">
              <w:rPr>
                <w:rFonts w:ascii="標楷體" w:eastAsia="標楷體" w:hAnsi="標楷體" w:hint="eastAsia"/>
              </w:rPr>
              <w:t>評鑑</w:t>
            </w:r>
            <w:r w:rsidRPr="004A3697">
              <w:rPr>
                <w:rFonts w:ascii="標楷體" w:eastAsia="標楷體" w:hAnsi="標楷體" w:hint="eastAsia"/>
              </w:rPr>
              <w:t>要點</w:t>
            </w:r>
          </w:p>
        </w:tc>
        <w:tc>
          <w:tcPr>
            <w:tcW w:w="2432" w:type="dxa"/>
          </w:tcPr>
          <w:p w14:paraId="40E14624" w14:textId="77777777" w:rsidR="00C07406" w:rsidRDefault="00C07406" w:rsidP="00807B29">
            <w:pPr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>查教育部一百一十一年五月三日</w:t>
            </w:r>
            <w:proofErr w:type="gramStart"/>
            <w:r w:rsidRPr="004A3697">
              <w:rPr>
                <w:rFonts w:ascii="標楷體" w:eastAsia="標楷體" w:hAnsi="標楷體" w:hint="eastAsia"/>
              </w:rPr>
              <w:t>臺</w:t>
            </w:r>
            <w:proofErr w:type="gramEnd"/>
            <w:r w:rsidRPr="004A3697">
              <w:rPr>
                <w:rFonts w:ascii="標楷體" w:eastAsia="標楷體" w:hAnsi="標楷體" w:hint="eastAsia"/>
              </w:rPr>
              <w:t>教人（五）字第1114201449A號令發布，專科以上學校進用編制外專任教學人員實施原則</w:t>
            </w:r>
            <w:r>
              <w:rPr>
                <w:rFonts w:ascii="標楷體" w:eastAsia="標楷體" w:hAnsi="標楷體" w:hint="eastAsia"/>
              </w:rPr>
              <w:t>，配合教育部訂頒法規，將「專案教師」</w:t>
            </w:r>
            <w:proofErr w:type="gramStart"/>
            <w:r>
              <w:rPr>
                <w:rFonts w:ascii="標楷體" w:eastAsia="標楷體" w:hAnsi="標楷體" w:hint="eastAsia"/>
              </w:rPr>
              <w:t>酌作文字</w:t>
            </w:r>
            <w:proofErr w:type="gramEnd"/>
            <w:r>
              <w:rPr>
                <w:rFonts w:ascii="標楷體" w:eastAsia="標楷體" w:hAnsi="標楷體" w:hint="eastAsia"/>
              </w:rPr>
              <w:t>修正為「</w:t>
            </w:r>
            <w:r w:rsidRPr="00DD77DD">
              <w:rPr>
                <w:rFonts w:ascii="標楷體" w:eastAsia="標楷體" w:hAnsi="標楷體" w:hint="eastAsia"/>
              </w:rPr>
              <w:t>編制外專任教學人員</w:t>
            </w:r>
            <w:r>
              <w:rPr>
                <w:rFonts w:ascii="標楷體" w:eastAsia="標楷體" w:hAnsi="標楷體" w:hint="eastAsia"/>
              </w:rPr>
              <w:t>」，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修正要點名稱。</w:t>
            </w:r>
          </w:p>
        </w:tc>
      </w:tr>
      <w:tr w:rsidR="00C07406" w14:paraId="0EF41880" w14:textId="77777777" w:rsidTr="0044128C">
        <w:tc>
          <w:tcPr>
            <w:tcW w:w="3425" w:type="dxa"/>
          </w:tcPr>
          <w:p w14:paraId="238C6E49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 xml:space="preserve">修　正　</w:t>
            </w:r>
            <w:proofErr w:type="gramStart"/>
            <w:r w:rsidRPr="004A3697">
              <w:rPr>
                <w:rFonts w:ascii="標楷體" w:eastAsia="標楷體" w:hAnsi="標楷體" w:hint="eastAsia"/>
              </w:rPr>
              <w:t>規</w:t>
            </w:r>
            <w:proofErr w:type="gramEnd"/>
            <w:r w:rsidRPr="004A3697">
              <w:rPr>
                <w:rFonts w:ascii="標楷體" w:eastAsia="標楷體" w:hAnsi="標楷體" w:hint="eastAsia"/>
              </w:rPr>
              <w:t xml:space="preserve">　定</w:t>
            </w:r>
          </w:p>
        </w:tc>
        <w:tc>
          <w:tcPr>
            <w:tcW w:w="3317" w:type="dxa"/>
          </w:tcPr>
          <w:p w14:paraId="5D6F9D24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 xml:space="preserve">現　行　</w:t>
            </w:r>
            <w:proofErr w:type="gramStart"/>
            <w:r w:rsidRPr="004A3697">
              <w:rPr>
                <w:rFonts w:ascii="標楷體" w:eastAsia="標楷體" w:hAnsi="標楷體" w:hint="eastAsia"/>
              </w:rPr>
              <w:t>規</w:t>
            </w:r>
            <w:proofErr w:type="gramEnd"/>
            <w:r w:rsidRPr="004A3697">
              <w:rPr>
                <w:rFonts w:ascii="標楷體" w:eastAsia="標楷體" w:hAnsi="標楷體" w:hint="eastAsia"/>
              </w:rPr>
              <w:t xml:space="preserve">　定</w:t>
            </w:r>
          </w:p>
        </w:tc>
        <w:tc>
          <w:tcPr>
            <w:tcW w:w="2432" w:type="dxa"/>
          </w:tcPr>
          <w:p w14:paraId="1DEC57E1" w14:textId="77777777" w:rsidR="00C07406" w:rsidRDefault="00C07406" w:rsidP="00807B29">
            <w:pPr>
              <w:jc w:val="center"/>
              <w:rPr>
                <w:rFonts w:ascii="標楷體" w:eastAsia="標楷體" w:hAnsi="標楷體"/>
              </w:rPr>
            </w:pPr>
            <w:r w:rsidRPr="004A3697">
              <w:rPr>
                <w:rFonts w:ascii="標楷體" w:eastAsia="標楷體" w:hAnsi="標楷體" w:hint="eastAsia"/>
              </w:rPr>
              <w:t>說　　　　明</w:t>
            </w:r>
          </w:p>
        </w:tc>
      </w:tr>
      <w:tr w:rsidR="00C07406" w14:paraId="5FBAC8A2" w14:textId="77777777" w:rsidTr="0044128C">
        <w:tc>
          <w:tcPr>
            <w:tcW w:w="3425" w:type="dxa"/>
          </w:tcPr>
          <w:p w14:paraId="455C9E19" w14:textId="5F973F13" w:rsidR="00C07406" w:rsidRPr="004A3697" w:rsidRDefault="00C07406" w:rsidP="00807B29">
            <w:pPr>
              <w:ind w:left="480" w:hangingChars="200" w:hanging="480"/>
              <w:rPr>
                <w:rFonts w:ascii="標楷體" w:eastAsia="標楷體" w:hAnsi="標楷體"/>
              </w:rPr>
            </w:pPr>
            <w:bookmarkStart w:id="2" w:name="_Hlk150162710"/>
            <w:r w:rsidRPr="000C5EDC">
              <w:rPr>
                <w:rFonts w:ascii="標楷體" w:eastAsia="標楷體" w:hAnsi="標楷體" w:hint="eastAsia"/>
              </w:rPr>
              <w:t>一、</w:t>
            </w:r>
            <w:r w:rsidR="00FE5D32" w:rsidRPr="00FE5D32">
              <w:rPr>
                <w:rFonts w:ascii="標楷體" w:eastAsia="標楷體" w:hAnsi="標楷體" w:hint="eastAsia"/>
              </w:rPr>
              <w:t>本要點係依據國立雲林科技大學（以下簡稱本校）校務基金進用</w:t>
            </w:r>
            <w:bookmarkStart w:id="3" w:name="_Hlk150172324"/>
            <w:r w:rsidR="00114D94" w:rsidRPr="00096DA5">
              <w:rPr>
                <w:rFonts w:ascii="標楷體" w:eastAsia="標楷體" w:hAnsi="標楷體" w:hint="eastAsia"/>
                <w:color w:val="FF0000"/>
                <w:u w:val="single"/>
              </w:rPr>
              <w:t>編制外專任教學人員</w:t>
            </w:r>
            <w:bookmarkEnd w:id="3"/>
            <w:r w:rsidR="00FE5D32" w:rsidRPr="00FE5D32">
              <w:rPr>
                <w:rFonts w:ascii="標楷體" w:eastAsia="標楷體" w:hAnsi="標楷體" w:hint="eastAsia"/>
              </w:rPr>
              <w:t>管理要點訂定。</w:t>
            </w:r>
            <w:bookmarkEnd w:id="2"/>
          </w:p>
        </w:tc>
        <w:tc>
          <w:tcPr>
            <w:tcW w:w="3317" w:type="dxa"/>
          </w:tcPr>
          <w:p w14:paraId="0D29F662" w14:textId="688F71F3" w:rsidR="00C07406" w:rsidRPr="004A3697" w:rsidRDefault="00C07406" w:rsidP="00F26C2D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AD28F3">
              <w:rPr>
                <w:rFonts w:ascii="標楷體" w:eastAsia="標楷體" w:hAnsi="標楷體" w:hint="eastAsia"/>
              </w:rPr>
              <w:t>一、</w:t>
            </w:r>
            <w:r w:rsidR="00FE5D32" w:rsidRPr="00FE5D32">
              <w:rPr>
                <w:rFonts w:ascii="標楷體" w:eastAsia="標楷體" w:hAnsi="標楷體" w:hint="eastAsia"/>
              </w:rPr>
              <w:t>本要點係依據國立雲林科技大學（以下簡稱本校）校務基金進用</w:t>
            </w:r>
            <w:r w:rsidR="00FE5D32" w:rsidRPr="00F26C2D">
              <w:rPr>
                <w:rFonts w:ascii="標楷體" w:eastAsia="標楷體" w:hAnsi="標楷體" w:hint="eastAsia"/>
                <w:color w:val="FF0000"/>
                <w:u w:val="single"/>
              </w:rPr>
              <w:t>專案教師</w:t>
            </w:r>
            <w:r w:rsidR="00FE5D32" w:rsidRPr="00FE5D32">
              <w:rPr>
                <w:rFonts w:ascii="標楷體" w:eastAsia="標楷體" w:hAnsi="標楷體" w:hint="eastAsia"/>
              </w:rPr>
              <w:t>管理要點訂定。</w:t>
            </w:r>
          </w:p>
        </w:tc>
        <w:tc>
          <w:tcPr>
            <w:tcW w:w="2432" w:type="dxa"/>
          </w:tcPr>
          <w:p w14:paraId="1DDDC427" w14:textId="77777777" w:rsidR="00C07406" w:rsidRPr="004A3697" w:rsidRDefault="00C07406" w:rsidP="00807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配合教育部訂頒法規，</w:t>
            </w:r>
            <w:proofErr w:type="gramStart"/>
            <w:r>
              <w:rPr>
                <w:rFonts w:ascii="標楷體" w:eastAsia="標楷體" w:hAnsi="標楷體" w:hint="eastAsia"/>
              </w:rPr>
              <w:t>酌作文字</w:t>
            </w:r>
            <w:proofErr w:type="gramEnd"/>
            <w:r>
              <w:rPr>
                <w:rFonts w:ascii="標楷體" w:eastAsia="標楷體" w:hAnsi="標楷體" w:hint="eastAsia"/>
              </w:rPr>
              <w:t>修正。</w:t>
            </w:r>
          </w:p>
        </w:tc>
      </w:tr>
    </w:tbl>
    <w:p w14:paraId="54EF92B7" w14:textId="2C3CED98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38739EC9" w14:textId="469F5232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69212573" w14:textId="37A68C16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0B5903A2" w14:textId="70ED16F2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52962B7D" w14:textId="660F31B3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6FF29151" w14:textId="47BDC2D7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55E89A08" w14:textId="5769FC46" w:rsidR="00C07406" w:rsidRDefault="00C07406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p w14:paraId="02A89139" w14:textId="77777777" w:rsidR="00CB16B4" w:rsidRDefault="00CB16B4" w:rsidP="00B53D5D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  <w:sectPr w:rsidR="00CB16B4" w:rsidSect="00C07406"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</w:p>
    <w:p w14:paraId="2BFAE38A" w14:textId="24BE33A9" w:rsidR="00AF31C0" w:rsidRPr="00AF31C0" w:rsidRDefault="00AF31C0" w:rsidP="00AF31C0">
      <w:pPr>
        <w:autoSpaceDE w:val="0"/>
        <w:autoSpaceDN w:val="0"/>
        <w:spacing w:before="25"/>
        <w:jc w:val="center"/>
        <w:outlineLvl w:val="0"/>
        <w:rPr>
          <w:rFonts w:ascii="標楷體" w:eastAsia="標楷體" w:hAnsi="標楷體" w:cs="標楷體"/>
          <w:bCs/>
          <w:kern w:val="0"/>
          <w:sz w:val="32"/>
          <w:szCs w:val="32"/>
          <w:lang w:val="zh-TW" w:bidi="zh-TW"/>
        </w:rPr>
      </w:pPr>
      <w:r w:rsidRPr="00AF31C0">
        <w:rPr>
          <w:rFonts w:ascii="標楷體" w:eastAsia="標楷體" w:hAnsi="標楷體" w:cs="標楷體"/>
          <w:bCs/>
          <w:kern w:val="0"/>
          <w:sz w:val="32"/>
          <w:szCs w:val="32"/>
          <w:lang w:val="zh-TW" w:bidi="zh-TW"/>
        </w:rPr>
        <w:lastRenderedPageBreak/>
        <w:t>國立雲林科技大學專案教師評鑑</w:t>
      </w:r>
      <w:r w:rsidRPr="00AF31C0">
        <w:rPr>
          <w:rFonts w:ascii="標楷體" w:eastAsia="標楷體" w:hAnsi="標楷體" w:cs="標楷體" w:hint="eastAsia"/>
          <w:bCs/>
          <w:kern w:val="0"/>
          <w:sz w:val="32"/>
          <w:szCs w:val="32"/>
          <w:lang w:val="zh-TW" w:bidi="zh-TW"/>
        </w:rPr>
        <w:t>要點</w:t>
      </w:r>
      <w:r w:rsidR="00992D0F">
        <w:rPr>
          <w:rFonts w:ascii="標楷體" w:eastAsia="標楷體" w:hAnsi="標楷體" w:cs="標楷體" w:hint="eastAsia"/>
          <w:bCs/>
          <w:kern w:val="0"/>
          <w:sz w:val="32"/>
          <w:szCs w:val="32"/>
          <w:lang w:val="zh-TW" w:bidi="zh-TW"/>
        </w:rPr>
        <w:t>修正草案</w:t>
      </w:r>
    </w:p>
    <w:p w14:paraId="52F7DDDA" w14:textId="77777777" w:rsidR="00AF31C0" w:rsidRPr="00AF31C0" w:rsidRDefault="00AF31C0" w:rsidP="00AF31C0">
      <w:pPr>
        <w:autoSpaceDE w:val="0"/>
        <w:autoSpaceDN w:val="0"/>
        <w:spacing w:before="25"/>
        <w:jc w:val="right"/>
        <w:outlineLvl w:val="0"/>
        <w:rPr>
          <w:rFonts w:ascii="標楷體" w:eastAsia="標楷體" w:hAnsi="標楷體" w:cs="標楷體"/>
          <w:bCs/>
          <w:kern w:val="0"/>
          <w:sz w:val="16"/>
          <w:szCs w:val="16"/>
          <w:lang w:val="zh-TW" w:bidi="zh-TW"/>
        </w:rPr>
      </w:pPr>
      <w:r w:rsidRPr="00AF31C0">
        <w:rPr>
          <w:rFonts w:ascii="標楷體" w:eastAsia="標楷體" w:hAnsi="標楷體" w:cs="標楷體" w:hint="eastAsia"/>
          <w:bCs/>
          <w:kern w:val="0"/>
          <w:sz w:val="16"/>
          <w:szCs w:val="16"/>
          <w:lang w:val="zh-TW" w:bidi="zh-TW"/>
        </w:rPr>
        <w:t>112年9月12日112學年度第一學期第1次行政會議通過(112.08.01起施行)</w:t>
      </w:r>
    </w:p>
    <w:p w14:paraId="0A06E14B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Times New Roman"/>
          <w:color w:val="000000" w:themeColor="text1"/>
        </w:rPr>
      </w:pPr>
      <w:r w:rsidRPr="00A23CF9">
        <w:rPr>
          <w:rFonts w:ascii="標楷體" w:eastAsia="標楷體" w:hAnsi="標楷體" w:cs="Times New Roman" w:hint="eastAsia"/>
          <w:color w:val="000000" w:themeColor="text1"/>
        </w:rPr>
        <w:t>一、本要點係依據國立雲林科技大學（以下簡稱本校）校務基金進用編制外專任教學人員管理要點訂定。</w:t>
      </w:r>
    </w:p>
    <w:p w14:paraId="44FDBFB4" w14:textId="3B351991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二、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應辦理評鑑，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第一學期新聘之</w:t>
      </w:r>
      <w:bookmarkStart w:id="4" w:name="_Hlk150172413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bookmarkEnd w:id="4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適用第一階段評鑑規範，續聘者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採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兩階段評鑑規範（包括第一階段及第二階段），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評鑑結果作為續聘與否之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依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據。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各階段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評鑑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細項標準由各院訂定</w:t>
      </w:r>
      <w:r w:rsidR="00DC56DC"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，並</w:t>
      </w:r>
      <w:proofErr w:type="gramStart"/>
      <w:r w:rsidR="00DC56DC"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報校級教</w:t>
      </w:r>
      <w:proofErr w:type="gramEnd"/>
      <w:r w:rsidR="00DC56DC"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評會核備。</w:t>
      </w:r>
    </w:p>
    <w:p w14:paraId="55B044D7" w14:textId="77777777" w:rsidR="00AF31C0" w:rsidRPr="00A23CF9" w:rsidRDefault="00AF31C0" w:rsidP="00A23CF9">
      <w:pPr>
        <w:autoSpaceDE w:val="0"/>
        <w:autoSpaceDN w:val="0"/>
        <w:spacing w:line="300" w:lineRule="exact"/>
        <w:ind w:firstLine="10"/>
        <w:jc w:val="both"/>
        <w:rPr>
          <w:rFonts w:ascii="新細明體" w:eastAsia="新細明體" w:hAnsi="新細明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spacing w:val="-12"/>
          <w:kern w:val="0"/>
          <w:szCs w:val="24"/>
          <w:lang w:val="zh-TW" w:bidi="zh-TW"/>
        </w:rPr>
        <w:t>每年</w:t>
      </w:r>
      <w:r w:rsidRPr="00A23CF9">
        <w:rPr>
          <w:rFonts w:ascii="標楷體" w:eastAsia="標楷體" w:hAnsi="標楷體" w:cs="標楷體" w:hint="eastAsia"/>
          <w:color w:val="000000" w:themeColor="text1"/>
          <w:spacing w:val="-12"/>
          <w:kern w:val="0"/>
          <w:szCs w:val="24"/>
          <w:lang w:val="zh-TW" w:bidi="zh-TW"/>
        </w:rPr>
        <w:t>五</w:t>
      </w: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月人事室協助提供受評教師名單，由各系、所、中心、學位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學程教</w:t>
      </w:r>
      <w:r w:rsidRPr="00A23CF9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  <w:lang w:val="zh-TW" w:bidi="zh-TW"/>
        </w:rPr>
        <w:t>評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  <w:lang w:val="zh-TW" w:bidi="zh-TW"/>
        </w:rPr>
        <w:t>會進行考核後，再送院教評會審議，逐級完成評鑑作業。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如有下列之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一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情事者，當學年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免接受評鑑</w:t>
      </w:r>
      <w:r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：</w:t>
      </w:r>
    </w:p>
    <w:p w14:paraId="664DCDE3" w14:textId="63F68C4C" w:rsidR="00AF31C0" w:rsidRPr="00A23CF9" w:rsidRDefault="00A0614E" w:rsidP="00A23CF9">
      <w:pPr>
        <w:autoSpaceDE w:val="0"/>
        <w:autoSpaceDN w:val="0"/>
        <w:spacing w:line="3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（一）</w:t>
      </w:r>
      <w:r w:rsidR="00AF31C0"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當學年</w:t>
      </w:r>
      <w:r w:rsidR="00AF31C0" w:rsidRPr="00A23CF9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  <w:lang w:val="zh-TW" w:bidi="zh-TW"/>
        </w:rPr>
        <w:t>教師</w:t>
      </w:r>
      <w:r w:rsidR="00AF31C0"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有申請</w:t>
      </w:r>
      <w:r w:rsidR="00AF31C0" w:rsidRPr="00A23CF9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  <w:lang w:val="zh-TW" w:bidi="zh-TW"/>
        </w:rPr>
        <w:t>留</w:t>
      </w:r>
      <w:r w:rsidR="00AF31C0"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職停薪。</w:t>
      </w:r>
    </w:p>
    <w:p w14:paraId="51E058E0" w14:textId="6453F03C" w:rsidR="00AF31C0" w:rsidRPr="00A23CF9" w:rsidRDefault="00A0614E" w:rsidP="00A23CF9">
      <w:pPr>
        <w:autoSpaceDE w:val="0"/>
        <w:autoSpaceDN w:val="0"/>
        <w:spacing w:line="3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highlight w:val="lightGray"/>
          <w:lang w:val="zh-TW" w:bidi="zh-TW"/>
        </w:rPr>
        <w:t>（二）</w:t>
      </w:r>
      <w:r w:rsidR="00AF31C0"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第二學期新聘之</w:t>
      </w:r>
      <w:r w:rsidR="00AF31C0"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="00AF31C0"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。</w:t>
      </w:r>
    </w:p>
    <w:p w14:paraId="26BE7A4B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spacing w:val="-12"/>
          <w:kern w:val="0"/>
          <w:szCs w:val="24"/>
          <w:lang w:val="zh-TW" w:bidi="zh-TW"/>
        </w:rPr>
        <w:t>三、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本</w:t>
      </w:r>
      <w:r w:rsidRPr="00A23CF9">
        <w:rPr>
          <w:rFonts w:ascii="標楷體" w:eastAsia="標楷體" w:hAnsi="標楷體" w:cs="標楷體" w:hint="eastAsia"/>
          <w:color w:val="000000" w:themeColor="text1"/>
          <w:spacing w:val="-16"/>
          <w:kern w:val="0"/>
          <w:szCs w:val="24"/>
          <w:lang w:val="zh-TW" w:bidi="zh-TW"/>
        </w:rPr>
        <w:t>校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之評鑑由系、院教師評審委員會</w:t>
      </w:r>
      <w:r w:rsidRPr="00A23CF9">
        <w:rPr>
          <w:rFonts w:ascii="標楷體" w:eastAsia="標楷體" w:hAnsi="標楷體" w:cs="標楷體" w:hint="eastAsia"/>
          <w:color w:val="000000" w:themeColor="text1"/>
          <w:spacing w:val="-16"/>
          <w:kern w:val="0"/>
          <w:szCs w:val="24"/>
          <w:lang w:val="zh-TW" w:bidi="zh-TW"/>
        </w:rPr>
        <w:t>辦理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。系、所、中心、學位學程及院教師評審委員若為必須受評者，應迴避與自身評鑑有關之討論及議</w:t>
      </w:r>
      <w:r w:rsidRPr="00A23CF9">
        <w:rPr>
          <w:rFonts w:ascii="標楷體" w:eastAsia="標楷體" w:hAnsi="標楷體" w:cs="標楷體"/>
          <w:color w:val="000000" w:themeColor="text1"/>
          <w:spacing w:val="-12"/>
          <w:kern w:val="0"/>
          <w:szCs w:val="24"/>
          <w:lang w:val="zh-TW" w:bidi="zh-TW"/>
        </w:rPr>
        <w:t>決。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系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、院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教評會非有三分之二以上委員出席不得開議</w:t>
      </w:r>
      <w:r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系教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評會需有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出席委員三分之二以上同意，始為通過，院教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評會需有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出席委員二分之一以上同意，始為通過。</w:t>
      </w:r>
    </w:p>
    <w:p w14:paraId="74665ED1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spacing w:val="-6"/>
          <w:kern w:val="0"/>
          <w:szCs w:val="24"/>
          <w:lang w:val="zh-TW" w:bidi="zh-TW"/>
        </w:rPr>
        <w:t>四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、教學型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之</w:t>
      </w:r>
      <w:r w:rsidRPr="00A23CF9">
        <w:rPr>
          <w:rFonts w:ascii="標楷體" w:eastAsia="標楷體" w:hAnsi="標楷體" w:cs="標楷體" w:hint="eastAsia"/>
          <w:color w:val="000000" w:themeColor="text1"/>
          <w:spacing w:val="-6"/>
          <w:kern w:val="0"/>
          <w:szCs w:val="24"/>
          <w:lang w:val="zh-TW" w:bidi="zh-TW"/>
        </w:rPr>
        <w:t>教師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評鑑須具備下列條件：</w:t>
      </w:r>
    </w:p>
    <w:p w14:paraId="16507462" w14:textId="77777777" w:rsidR="00AF31C0" w:rsidRPr="00A23CF9" w:rsidRDefault="00AF31C0" w:rsidP="00A23CF9">
      <w:pPr>
        <w:autoSpaceDE w:val="0"/>
        <w:autoSpaceDN w:val="0"/>
        <w:spacing w:line="300" w:lineRule="exact"/>
        <w:ind w:leftChars="658" w:left="2287" w:hangingChars="295" w:hanging="708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（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一</w:t>
      </w:r>
      <w:r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須符合「國立雲林科技大學授課鐘點計算要點」有關教學型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之授課鐘點規定。</w:t>
      </w:r>
    </w:p>
    <w:p w14:paraId="278DA234" w14:textId="77777777" w:rsidR="00AF31C0" w:rsidRPr="00A23CF9" w:rsidRDefault="00AF31C0" w:rsidP="00A23CF9">
      <w:pPr>
        <w:autoSpaceDE w:val="0"/>
        <w:autoSpaceDN w:val="0"/>
        <w:spacing w:line="300" w:lineRule="exact"/>
        <w:ind w:leftChars="658" w:left="2287" w:hangingChars="295" w:hanging="708"/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（二）</w:t>
      </w:r>
      <w:r w:rsidRPr="00A23CF9">
        <w:rPr>
          <w:rFonts w:ascii="標楷體" w:eastAsia="標楷體" w:hAnsi="標楷體" w:cs="標楷體"/>
          <w:color w:val="000000" w:themeColor="text1"/>
          <w:spacing w:val="-11"/>
          <w:kern w:val="0"/>
          <w:szCs w:val="24"/>
          <w:lang w:val="zh-TW" w:bidi="zh-TW"/>
        </w:rPr>
        <w:t>前一學年教學意見調查平均分數須達</w:t>
      </w:r>
      <w:r w:rsidRPr="00A23CF9">
        <w:rPr>
          <w:rFonts w:ascii="標楷體" w:eastAsia="標楷體" w:hAnsi="標楷體" w:cs="標楷體" w:hint="eastAsia"/>
          <w:color w:val="000000" w:themeColor="text1"/>
          <w:spacing w:val="-11"/>
          <w:kern w:val="0"/>
          <w:szCs w:val="24"/>
          <w:lang w:val="zh-TW" w:bidi="zh-TW"/>
        </w:rPr>
        <w:t>四</w:t>
      </w:r>
      <w:r w:rsidRPr="00A23CF9">
        <w:rPr>
          <w:rFonts w:ascii="標楷體" w:eastAsia="標楷體" w:hAnsi="標楷體" w:cs="標楷體"/>
          <w:color w:val="000000" w:themeColor="text1"/>
          <w:spacing w:val="-15"/>
          <w:kern w:val="0"/>
          <w:szCs w:val="24"/>
          <w:lang w:val="zh-TW" w:bidi="zh-TW"/>
        </w:rPr>
        <w:t>分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（含</w:t>
      </w:r>
      <w:r w:rsidRPr="00A23CF9">
        <w:rPr>
          <w:rFonts w:ascii="標楷體" w:eastAsia="標楷體" w:hAnsi="標楷體" w:cs="標楷體"/>
          <w:color w:val="000000" w:themeColor="text1"/>
          <w:spacing w:val="-120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spacing w:val="-15"/>
          <w:kern w:val="0"/>
          <w:szCs w:val="24"/>
          <w:lang w:val="zh-TW" w:bidi="zh-TW"/>
        </w:rPr>
        <w:t>以上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。</w:t>
      </w:r>
    </w:p>
    <w:p w14:paraId="7F946D1E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spacing w:val="-6"/>
          <w:kern w:val="0"/>
          <w:szCs w:val="24"/>
          <w:lang w:val="zh-TW" w:bidi="zh-TW"/>
        </w:rPr>
        <w:t>五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、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產學型</w:t>
      </w:r>
      <w:bookmarkStart w:id="5" w:name="_Hlk150172499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外專任教學人員</w:t>
      </w:r>
      <w:bookmarkEnd w:id="5"/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之第一階段評鑑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須具備下列條件之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一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者：</w:t>
      </w:r>
    </w:p>
    <w:p w14:paraId="7C2B1BFE" w14:textId="77777777" w:rsidR="00AF31C0" w:rsidRPr="00A23CF9" w:rsidRDefault="00AF31C0" w:rsidP="00A23CF9">
      <w:pPr>
        <w:autoSpaceDE w:val="0"/>
        <w:autoSpaceDN w:val="0"/>
        <w:spacing w:line="300" w:lineRule="exact"/>
        <w:ind w:hanging="697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（一）</w:t>
      </w:r>
      <w:r w:rsidRPr="00A23CF9">
        <w:rPr>
          <w:rFonts w:ascii="標楷體" w:eastAsia="標楷體" w:hAnsi="標楷體" w:cs="標楷體"/>
          <w:color w:val="000000" w:themeColor="text1"/>
          <w:spacing w:val="1"/>
          <w:kern w:val="0"/>
          <w:szCs w:val="24"/>
          <w:lang w:val="zh-TW" w:bidi="zh-TW"/>
        </w:rPr>
        <w:t>每年公民營企業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1"/>
          <w:kern w:val="0"/>
          <w:szCs w:val="24"/>
          <w:lang w:val="zh-TW" w:bidi="zh-TW"/>
        </w:rPr>
        <w:t>產學案或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1"/>
          <w:kern w:val="0"/>
          <w:szCs w:val="24"/>
          <w:lang w:val="zh-TW" w:bidi="zh-TW"/>
        </w:rPr>
        <w:t>其他單位資助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1"/>
          <w:kern w:val="0"/>
          <w:szCs w:val="24"/>
          <w:lang w:val="zh-TW" w:bidi="zh-TW"/>
        </w:rPr>
        <w:t>產學案累計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1"/>
          <w:kern w:val="0"/>
          <w:szCs w:val="24"/>
          <w:lang w:val="zh-TW" w:bidi="zh-TW"/>
        </w:rPr>
        <w:t>本校實收經費為</w:t>
      </w:r>
      <w:r w:rsidRPr="00A23CF9">
        <w:rPr>
          <w:rFonts w:ascii="標楷體" w:eastAsia="標楷體" w:hAnsi="標楷體" w:cs="標楷體" w:hint="eastAsia"/>
          <w:color w:val="000000" w:themeColor="text1"/>
          <w:spacing w:val="1"/>
          <w:kern w:val="0"/>
          <w:szCs w:val="24"/>
          <w:lang w:val="zh-TW" w:bidi="zh-TW"/>
        </w:rPr>
        <w:t>四十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萬元，管理費應依規定提足。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必須為主持人，如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共同/協同主持</w:t>
      </w:r>
      <w:r w:rsidRPr="00A23CF9">
        <w:rPr>
          <w:rFonts w:ascii="Times New Roman" w:eastAsia="Times New Roman" w:hAnsi="標楷體" w:cs="標楷體"/>
          <w:color w:val="000000" w:themeColor="text1"/>
          <w:spacing w:val="-60"/>
          <w:kern w:val="0"/>
          <w:szCs w:val="24"/>
          <w:lang w:val="zh-TW" w:bidi="zh-TW"/>
        </w:rPr>
        <w:t xml:space="preserve"> 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人，須檢附貢獻比例。</w:t>
      </w:r>
      <w:r w:rsidRPr="00A23CF9">
        <w:rPr>
          <w:rFonts w:ascii="Times New Roman" w:eastAsia="Times New Roman" w:hAnsi="標楷體" w:cs="標楷體"/>
          <w:color w:val="000000" w:themeColor="text1"/>
          <w:spacing w:val="-60"/>
          <w:kern w:val="0"/>
          <w:szCs w:val="24"/>
          <w:lang w:val="zh-TW" w:bidi="zh-TW"/>
        </w:rPr>
        <w:t xml:space="preserve"> </w:t>
      </w:r>
      <w:r w:rsidRPr="00A23CF9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  <w:lang w:val="zh-TW" w:bidi="zh-TW"/>
        </w:rPr>
        <w:t>其他非</w:t>
      </w:r>
      <w:r w:rsidRPr="00A23CF9">
        <w:rPr>
          <w:rFonts w:ascii="標楷體" w:eastAsia="標楷體" w:hAnsi="標楷體" w:cs="標楷體" w:hint="eastAsia"/>
          <w:color w:val="000000" w:themeColor="text1"/>
          <w:spacing w:val="-6"/>
          <w:kern w:val="0"/>
          <w:szCs w:val="24"/>
          <w:lang w:val="zh-TW" w:bidi="zh-TW"/>
        </w:rPr>
        <w:t>前</w:t>
      </w:r>
      <w:r w:rsidRPr="00A23CF9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  <w:lang w:val="zh-TW" w:bidi="zh-TW"/>
        </w:rPr>
        <w:t>述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  <w:lang w:val="zh-TW" w:bidi="zh-TW"/>
        </w:rPr>
        <w:t>產學案計畫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4"/>
          <w:kern w:val="0"/>
          <w:szCs w:val="24"/>
          <w:lang w:val="zh-TW" w:bidi="zh-TW"/>
        </w:rPr>
        <w:t>實收金額折算方式為教育部教學研究實踐計畫金額乘以</w:t>
      </w:r>
      <w:r w:rsidRPr="00A23CF9">
        <w:rPr>
          <w:rFonts w:ascii="標楷體" w:eastAsia="標楷體" w:hAnsi="標楷體" w:cs="標楷體" w:hint="eastAsia"/>
          <w:color w:val="000000" w:themeColor="text1"/>
          <w:spacing w:val="4"/>
          <w:kern w:val="0"/>
          <w:szCs w:val="24"/>
          <w:lang w:val="zh-TW" w:bidi="zh-TW"/>
        </w:rPr>
        <w:t>零點七五</w:t>
      </w:r>
      <w:r w:rsidRPr="00A23CF9">
        <w:rPr>
          <w:rFonts w:ascii="標楷體" w:eastAsia="標楷體" w:hAnsi="標楷體" w:cs="標楷體"/>
          <w:color w:val="000000" w:themeColor="text1"/>
          <w:spacing w:val="2"/>
          <w:kern w:val="0"/>
          <w:szCs w:val="24"/>
          <w:lang w:val="zh-TW" w:bidi="zh-TW"/>
        </w:rPr>
        <w:t>、政府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2"/>
          <w:kern w:val="0"/>
          <w:szCs w:val="24"/>
          <w:lang w:val="zh-TW" w:bidi="zh-TW"/>
        </w:rPr>
        <w:t>產學案金額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2"/>
          <w:kern w:val="0"/>
          <w:szCs w:val="24"/>
          <w:lang w:val="zh-TW" w:bidi="zh-TW"/>
        </w:rPr>
        <w:t>乘以</w:t>
      </w:r>
      <w:r w:rsidRPr="00A23CF9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  <w:lang w:val="zh-TW" w:bidi="zh-TW"/>
        </w:rPr>
        <w:t>零點五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、國科會專題計畫金額乘以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零點七五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（包括國科會各式產學計畫</w:t>
      </w:r>
      <w:r w:rsidRPr="00A23CF9">
        <w:rPr>
          <w:rFonts w:ascii="標楷體" w:eastAsia="標楷體" w:hAnsi="標楷體" w:cs="標楷體"/>
          <w:color w:val="000000" w:themeColor="text1"/>
          <w:spacing w:val="-120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1CDDE878" w14:textId="77777777" w:rsidR="00AF31C0" w:rsidRPr="00A23CF9" w:rsidRDefault="00AF31C0" w:rsidP="00A23CF9">
      <w:pPr>
        <w:autoSpaceDE w:val="0"/>
        <w:autoSpaceDN w:val="0"/>
        <w:spacing w:line="300" w:lineRule="exact"/>
        <w:ind w:leftChars="643" w:left="2227" w:hangingChars="285" w:hanging="684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（二）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每年累計金額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四十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萬技術移轉權利金（必須為主持人，如為共同/協同主持人，須檢附貢獻比例</w:t>
      </w:r>
      <w:r w:rsidRPr="00A23CF9">
        <w:rPr>
          <w:rFonts w:ascii="標楷體" w:eastAsia="標楷體" w:hAnsi="標楷體" w:cs="標楷體"/>
          <w:color w:val="000000" w:themeColor="text1"/>
          <w:spacing w:val="-120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082C0D8D" w14:textId="77777777" w:rsidR="00AF31C0" w:rsidRPr="00A23CF9" w:rsidRDefault="00AF31C0" w:rsidP="00A23CF9">
      <w:pPr>
        <w:autoSpaceDE w:val="0"/>
        <w:autoSpaceDN w:val="0"/>
        <w:spacing w:line="300" w:lineRule="exact"/>
        <w:ind w:leftChars="643" w:left="2227" w:hangingChars="285" w:hanging="684"/>
        <w:rPr>
          <w:rFonts w:ascii="標楷體" w:eastAsia="標楷體" w:hAnsi="標楷體" w:cs="標楷體"/>
          <w:color w:val="000000" w:themeColor="text1"/>
          <w:spacing w:val="-15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（三）</w:t>
      </w:r>
      <w:r w:rsidRPr="00A23CF9">
        <w:rPr>
          <w:rFonts w:ascii="標楷體" w:eastAsia="標楷體" w:hAnsi="標楷體" w:cs="標楷體"/>
          <w:color w:val="000000" w:themeColor="text1"/>
          <w:spacing w:val="-5"/>
          <w:kern w:val="0"/>
          <w:szCs w:val="24"/>
          <w:lang w:val="zh-TW" w:bidi="zh-TW"/>
        </w:rPr>
        <w:t>第一款</w:t>
      </w:r>
      <w:r w:rsidRPr="00A23CF9">
        <w:rPr>
          <w:rFonts w:ascii="標楷體" w:eastAsia="標楷體" w:hAnsi="標楷體" w:cs="標楷體" w:hint="eastAsia"/>
          <w:color w:val="000000" w:themeColor="text1"/>
          <w:spacing w:val="-5"/>
          <w:kern w:val="0"/>
          <w:szCs w:val="24"/>
          <w:lang w:val="zh-TW" w:bidi="zh-TW"/>
        </w:rPr>
        <w:t>或第</w:t>
      </w:r>
      <w:r w:rsidRPr="00A23CF9">
        <w:rPr>
          <w:rFonts w:ascii="標楷體" w:eastAsia="標楷體" w:hAnsi="標楷體" w:cs="標楷體"/>
          <w:color w:val="000000" w:themeColor="text1"/>
          <w:spacing w:val="-5"/>
          <w:kern w:val="0"/>
          <w:szCs w:val="24"/>
          <w:lang w:val="zh-TW" w:bidi="zh-TW"/>
        </w:rPr>
        <w:t>二款</w:t>
      </w:r>
      <w:r w:rsidRPr="00A23CF9">
        <w:rPr>
          <w:rFonts w:ascii="標楷體" w:eastAsia="標楷體" w:hAnsi="標楷體" w:cs="標楷體" w:hint="eastAsia"/>
          <w:color w:val="000000" w:themeColor="text1"/>
          <w:spacing w:val="-5"/>
          <w:kern w:val="0"/>
          <w:szCs w:val="24"/>
          <w:lang w:val="zh-TW" w:bidi="zh-TW"/>
        </w:rPr>
        <w:t>依比例達</w:t>
      </w:r>
      <w:r w:rsidRPr="00A23CF9">
        <w:rPr>
          <w:rFonts w:ascii="標楷體" w:eastAsia="標楷體" w:hAnsi="標楷體" w:cs="標楷體"/>
          <w:color w:val="000000" w:themeColor="text1"/>
          <w:spacing w:val="-5"/>
          <w:kern w:val="0"/>
          <w:szCs w:val="24"/>
          <w:lang w:val="zh-TW" w:bidi="zh-TW"/>
        </w:rPr>
        <w:t>百分之八十</w:t>
      </w:r>
      <w:r w:rsidRPr="00A23CF9">
        <w:rPr>
          <w:rFonts w:ascii="標楷體" w:eastAsia="標楷體" w:hAnsi="標楷體" w:cs="標楷體" w:hint="eastAsia"/>
          <w:color w:val="000000" w:themeColor="text1"/>
          <w:spacing w:val="-5"/>
          <w:kern w:val="0"/>
          <w:szCs w:val="24"/>
          <w:lang w:val="zh-TW" w:bidi="zh-TW"/>
        </w:rPr>
        <w:t>以上</w:t>
      </w:r>
      <w:r w:rsidRPr="00A23CF9">
        <w:rPr>
          <w:rFonts w:ascii="標楷體" w:eastAsia="標楷體" w:hAnsi="標楷體" w:cs="標楷體"/>
          <w:color w:val="000000" w:themeColor="text1"/>
          <w:spacing w:val="-5"/>
          <w:kern w:val="0"/>
          <w:szCs w:val="24"/>
          <w:lang w:val="zh-TW" w:bidi="zh-TW"/>
        </w:rPr>
        <w:t xml:space="preserve">且 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WOS</w:t>
      </w:r>
      <w:r w:rsidRPr="00A23CF9">
        <w:rPr>
          <w:rFonts w:ascii="標楷體" w:eastAsia="標楷體" w:hAnsi="標楷體" w:cs="標楷體"/>
          <w:color w:val="000000" w:themeColor="text1"/>
          <w:spacing w:val="-40"/>
          <w:kern w:val="0"/>
          <w:szCs w:val="24"/>
          <w:lang w:val="zh-TW" w:bidi="zh-TW"/>
        </w:rPr>
        <w:t xml:space="preserve"> 或 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Scopus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 xml:space="preserve"> 外文期刊論文</w:t>
      </w:r>
      <w:r w:rsidRPr="00A23CF9">
        <w:rPr>
          <w:rFonts w:ascii="標楷體" w:eastAsia="標楷體" w:hAnsi="標楷體" w:cs="標楷體" w:hint="eastAsia"/>
          <w:color w:val="000000" w:themeColor="text1"/>
          <w:spacing w:val="-16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spacing w:val="-30"/>
          <w:kern w:val="0"/>
          <w:szCs w:val="24"/>
          <w:lang w:val="zh-TW" w:bidi="zh-TW"/>
        </w:rPr>
        <w:t>篇</w:t>
      </w:r>
      <w:r w:rsidRPr="00A23CF9">
        <w:rPr>
          <w:rFonts w:ascii="標楷體" w:eastAsia="標楷體" w:hAnsi="標楷體" w:cs="標楷體"/>
          <w:color w:val="000000" w:themeColor="text1"/>
          <w:spacing w:val="-15"/>
          <w:kern w:val="0"/>
          <w:szCs w:val="24"/>
          <w:lang w:val="zh-TW" w:bidi="zh-TW"/>
        </w:rPr>
        <w:t>。</w:t>
      </w:r>
    </w:p>
    <w:p w14:paraId="1D10986A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spacing w:val="-6"/>
          <w:kern w:val="0"/>
          <w:szCs w:val="24"/>
          <w:lang w:val="zh-TW" w:bidi="zh-TW"/>
        </w:rPr>
        <w:t>六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、研究型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之第一階段評鑑須具備下列條件之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一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者：</w:t>
      </w:r>
    </w:p>
    <w:p w14:paraId="20B3EB35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　　（一）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Q2等級(含)以上SCI(E)/SSCI論文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篇。</w:t>
      </w:r>
    </w:p>
    <w:p w14:paraId="31531BC8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　　（二）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Q2等級(含)以上SCI(E)/SSCI論文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篇及Q3論文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篇。</w:t>
      </w:r>
    </w:p>
    <w:p w14:paraId="5C5DA517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　　（三）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Q2等級(含)以上SCI(E)/SSCI論文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篇及Q4論文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篇。</w:t>
      </w:r>
    </w:p>
    <w:p w14:paraId="0F93509B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    期刊等級是以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WOS資料庫中，根據Journal Impact Factor計算之排序結果為依據。</w:t>
      </w:r>
    </w:p>
    <w:p w14:paraId="2187F758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    第一項第二款及第三款須加上公民營企業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產學案或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其他單位資助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產學案累計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金額十五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萬元或技術移轉權利金累計金額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十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萬元。以上必須為主持人，如為共同/協同主持人，須檢附貢獻比例。</w:t>
      </w:r>
    </w:p>
    <w:p w14:paraId="7828A4CF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    其他非上述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產學案計畫</w:t>
      </w:r>
      <w:proofErr w:type="gramEnd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實收金額折算方式為教育部教學研究實踐計畫金額乘以零點七五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、國科會專題計畫金額乘以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零點七五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（含國科會各式產學計畫）、政府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產學案金額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乘以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零點五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4A47A218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    凡計畫或技術移轉權利金計算以執行起始月為基準。</w:t>
      </w:r>
    </w:p>
    <w:p w14:paraId="3922472A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    每篇論文僅計一次（合約開始日至考核資料繳交截止日，含已接受論文），須為第一作者或通訊作者，通訊作者二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人以上(含)依人數平均計算；Journal of Innovative Technology (JIT)等同SCI(E)/SSCI Q3。</w:t>
      </w:r>
    </w:p>
    <w:p w14:paraId="7310E4EE" w14:textId="77777777" w:rsidR="00AF31C0" w:rsidRPr="00A23CF9" w:rsidRDefault="00AF31C0" w:rsidP="00A23CF9">
      <w:pPr>
        <w:autoSpaceDE w:val="0"/>
        <w:autoSpaceDN w:val="0"/>
        <w:spacing w:line="300" w:lineRule="exact"/>
        <w:ind w:hanging="459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七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、教學及產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研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之第一階段評鑑須具備下列條件之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一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者：</w:t>
      </w:r>
    </w:p>
    <w:p w14:paraId="6A2B7405" w14:textId="77777777" w:rsidR="00AF31C0" w:rsidRPr="00A23CF9" w:rsidRDefault="00AF31C0" w:rsidP="00A23CF9">
      <w:pPr>
        <w:autoSpaceDE w:val="0"/>
        <w:autoSpaceDN w:val="0"/>
        <w:spacing w:line="300" w:lineRule="exact"/>
        <w:ind w:hanging="743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 xml:space="preserve">（一）WOS 或 Scopus 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 xml:space="preserve">或 TSSCI 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期刊論文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篇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，且須為第一作者或通訊作者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200EE3DF" w14:textId="77777777" w:rsidR="00AF31C0" w:rsidRPr="00A23CF9" w:rsidRDefault="00AF31C0" w:rsidP="00A23CF9">
      <w:pPr>
        <w:autoSpaceDE w:val="0"/>
        <w:autoSpaceDN w:val="0"/>
        <w:spacing w:line="300" w:lineRule="exact"/>
        <w:ind w:hanging="743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（二</w:t>
      </w:r>
      <w:r w:rsidRPr="00A23CF9">
        <w:rPr>
          <w:rFonts w:ascii="標楷體" w:eastAsia="標楷體" w:hAnsi="標楷體" w:cs="標楷體"/>
          <w:color w:val="000000" w:themeColor="text1"/>
          <w:spacing w:val="-32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公民營企業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產學案或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其他單位資助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產學案每年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累計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實收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金額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新臺幣二十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萬元（管理費應依規定提足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必須為主持人，如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共同/協同主持人，須檢附貢獻比例）。其他非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前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述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產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lastRenderedPageBreak/>
        <w:t>學案計畫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實收金額折算方式比照第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五點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第一項第一款。</w:t>
      </w:r>
    </w:p>
    <w:p w14:paraId="7648A5BE" w14:textId="77777777" w:rsidR="00AF31C0" w:rsidRPr="00A23CF9" w:rsidRDefault="00AF31C0" w:rsidP="00A23CF9">
      <w:pPr>
        <w:autoSpaceDE w:val="0"/>
        <w:autoSpaceDN w:val="0"/>
        <w:spacing w:line="300" w:lineRule="exact"/>
        <w:ind w:hanging="743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（三）技術移轉權利金每年累計金額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新臺幣十五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萬元（</w:t>
      </w:r>
      <w:r w:rsidRPr="00A23CF9">
        <w:rPr>
          <w:rFonts w:ascii="標楷體" w:eastAsia="標楷體" w:hAnsi="標楷體" w:cs="標楷體"/>
          <w:color w:val="000000" w:themeColor="text1"/>
          <w:spacing w:val="-4"/>
          <w:kern w:val="0"/>
          <w:szCs w:val="24"/>
          <w:lang w:val="zh-TW" w:bidi="zh-TW"/>
        </w:rPr>
        <w:t>必須為主持人，如為共同/協同主持人，須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檢附貢獻比例</w:t>
      </w:r>
      <w:r w:rsidRPr="00A23CF9">
        <w:rPr>
          <w:rFonts w:ascii="標楷體" w:eastAsia="標楷體" w:hAnsi="標楷體" w:cs="標楷體"/>
          <w:color w:val="000000" w:themeColor="text1"/>
          <w:spacing w:val="-120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5C0B7204" w14:textId="77777777" w:rsidR="00AF31C0" w:rsidRPr="00A23CF9" w:rsidRDefault="00AF31C0" w:rsidP="00A23CF9">
      <w:pPr>
        <w:autoSpaceDE w:val="0"/>
        <w:autoSpaceDN w:val="0"/>
        <w:spacing w:line="300" w:lineRule="exact"/>
        <w:ind w:hanging="497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1ACA52" wp14:editId="17D08ACD">
                <wp:simplePos x="0" y="0"/>
                <wp:positionH relativeFrom="page">
                  <wp:posOffset>3484245</wp:posOffset>
                </wp:positionH>
                <wp:positionV relativeFrom="paragraph">
                  <wp:posOffset>730885</wp:posOffset>
                </wp:positionV>
                <wp:extent cx="15240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40F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35pt,57.55pt" to="286.3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" strokecolor="red" strokeweight=".21169mm">
                <w10:wrap anchorx="page"/>
              </v:line>
            </w:pict>
          </mc:Fallback>
        </mc:AlternateContent>
      </w:r>
      <w:r w:rsidRPr="00A23CF9">
        <w:rPr>
          <w:rFonts w:ascii="標楷體" w:eastAsia="標楷體" w:hAnsi="標楷體" w:cs="標楷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699A3D" wp14:editId="0C4EDFBE">
                <wp:simplePos x="0" y="0"/>
                <wp:positionH relativeFrom="page">
                  <wp:posOffset>2874645</wp:posOffset>
                </wp:positionH>
                <wp:positionV relativeFrom="paragraph">
                  <wp:posOffset>959485</wp:posOffset>
                </wp:positionV>
                <wp:extent cx="1524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33E6D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35pt,75.55pt" to="238.3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" strokecolor="red" strokeweight=".21169mm">
                <w10:wrap anchorx="page"/>
              </v:line>
            </w:pict>
          </mc:Fallback>
        </mc:AlternateConten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八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、</w:t>
      </w:r>
      <w:r w:rsidRPr="00A23CF9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  <w:lang w:val="zh-TW" w:bidi="zh-TW"/>
        </w:rPr>
        <w:t>第二學期</w:t>
      </w:r>
      <w:r w:rsidRPr="00A23CF9">
        <w:rPr>
          <w:rFonts w:ascii="標楷體" w:eastAsia="標楷體" w:hAnsi="標楷體" w:cs="標楷體" w:hint="eastAsia"/>
          <w:color w:val="000000" w:themeColor="text1"/>
          <w:spacing w:val="-13"/>
          <w:kern w:val="0"/>
          <w:szCs w:val="24"/>
          <w:lang w:val="zh-TW" w:bidi="zh-TW"/>
        </w:rPr>
        <w:t>新</w:t>
      </w:r>
      <w:r w:rsidRPr="00A23CF9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  <w:lang w:val="zh-TW" w:bidi="zh-TW"/>
        </w:rPr>
        <w:t>聘任之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  <w:lang w:val="zh-TW" w:bidi="zh-TW"/>
        </w:rPr>
        <w:t>，該學期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  <w:lang w:val="zh-TW" w:bidi="zh-TW"/>
        </w:rPr>
        <w:t>免評，惟獲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13"/>
          <w:kern w:val="0"/>
          <w:szCs w:val="24"/>
          <w:lang w:val="zh-TW" w:bidi="zh-TW"/>
        </w:rPr>
        <w:t>續聘者，其第一次續聘期間之</w:t>
      </w:r>
      <w:r w:rsidRPr="00A23CF9">
        <w:rPr>
          <w:rFonts w:ascii="標楷體" w:eastAsia="標楷體" w:hAnsi="標楷體" w:cs="標楷體"/>
          <w:color w:val="000000" w:themeColor="text1"/>
          <w:spacing w:val="-3"/>
          <w:kern w:val="0"/>
          <w:szCs w:val="24"/>
          <w:lang w:val="zh-TW" w:bidi="zh-TW"/>
        </w:rPr>
        <w:t>第一階段評鑑須含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3"/>
          <w:kern w:val="0"/>
          <w:szCs w:val="24"/>
          <w:lang w:val="zh-TW" w:bidi="zh-TW"/>
        </w:rPr>
        <w:t>括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3"/>
          <w:kern w:val="0"/>
          <w:szCs w:val="24"/>
          <w:lang w:val="zh-TW" w:bidi="zh-TW"/>
        </w:rPr>
        <w:t>前一學期之績效，評鑑期間為</w:t>
      </w:r>
      <w:r w:rsidRPr="00A23CF9">
        <w:rPr>
          <w:rFonts w:ascii="標楷體" w:eastAsia="標楷體" w:hAnsi="標楷體" w:cs="標楷體" w:hint="eastAsia"/>
          <w:color w:val="000000" w:themeColor="text1"/>
          <w:spacing w:val="-3"/>
          <w:kern w:val="0"/>
          <w:szCs w:val="24"/>
          <w:lang w:val="zh-TW" w:bidi="zh-TW"/>
        </w:rPr>
        <w:t>一點五</w:t>
      </w:r>
      <w:r w:rsidRPr="00A23CF9">
        <w:rPr>
          <w:rFonts w:ascii="標楷體" w:eastAsia="標楷體" w:hAnsi="標楷體" w:cs="標楷體"/>
          <w:color w:val="000000" w:themeColor="text1"/>
          <w:spacing w:val="-20"/>
          <w:kern w:val="0"/>
          <w:szCs w:val="24"/>
          <w:lang w:val="zh-TW" w:bidi="zh-TW"/>
        </w:rPr>
        <w:t>年。</w:t>
      </w:r>
    </w:p>
    <w:p w14:paraId="3E21F75E" w14:textId="77777777" w:rsidR="00AF31C0" w:rsidRPr="00A23CF9" w:rsidRDefault="00AF31C0" w:rsidP="00A23CF9">
      <w:pPr>
        <w:autoSpaceDE w:val="0"/>
        <w:autoSpaceDN w:val="0"/>
        <w:spacing w:line="3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spacing w:val="-10"/>
          <w:kern w:val="0"/>
          <w:szCs w:val="24"/>
          <w:lang w:val="zh-TW" w:bidi="zh-TW"/>
        </w:rPr>
        <w:t>首次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10"/>
          <w:kern w:val="0"/>
          <w:szCs w:val="24"/>
          <w:lang w:val="zh-TW" w:bidi="zh-TW"/>
        </w:rPr>
        <w:t>採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10"/>
          <w:kern w:val="0"/>
          <w:szCs w:val="24"/>
          <w:lang w:val="zh-TW" w:bidi="zh-TW"/>
        </w:rPr>
        <w:t>本</w:t>
      </w:r>
      <w:r w:rsidRPr="00A23CF9">
        <w:rPr>
          <w:rFonts w:ascii="標楷體" w:eastAsia="標楷體" w:hAnsi="標楷體" w:cs="標楷體" w:hint="eastAsia"/>
          <w:color w:val="000000" w:themeColor="text1"/>
          <w:spacing w:val="-10"/>
          <w:kern w:val="0"/>
          <w:szCs w:val="24"/>
          <w:lang w:val="zh-TW" w:bidi="zh-TW"/>
        </w:rPr>
        <w:t>要點</w:t>
      </w:r>
      <w:r w:rsidRPr="00A23CF9">
        <w:rPr>
          <w:rFonts w:ascii="標楷體" w:eastAsia="標楷體" w:hAnsi="標楷體" w:cs="標楷體"/>
          <w:color w:val="000000" w:themeColor="text1"/>
          <w:spacing w:val="-10"/>
          <w:kern w:val="0"/>
          <w:szCs w:val="24"/>
          <w:lang w:val="zh-TW" w:bidi="zh-TW"/>
        </w:rPr>
        <w:t>評鑑績效者，若第一年第一階段評鑑僅達標準績效之</w:t>
      </w:r>
      <w:r w:rsidRPr="00A23CF9">
        <w:rPr>
          <w:rFonts w:ascii="標楷體" w:eastAsia="標楷體" w:hAnsi="標楷體" w:cs="標楷體" w:hint="eastAsia"/>
          <w:color w:val="000000" w:themeColor="text1"/>
          <w:spacing w:val="-10"/>
          <w:kern w:val="0"/>
          <w:szCs w:val="24"/>
          <w:lang w:val="zh-TW" w:bidi="zh-TW"/>
        </w:rPr>
        <w:t>百分之七十</w:t>
      </w:r>
      <w:r w:rsidRPr="00A23CF9">
        <w:rPr>
          <w:rFonts w:ascii="標楷體" w:eastAsia="標楷體" w:hAnsi="標楷體" w:cs="標楷體"/>
          <w:color w:val="000000" w:themeColor="text1"/>
          <w:spacing w:val="-41"/>
          <w:kern w:val="0"/>
          <w:szCs w:val="24"/>
          <w:lang w:val="zh-TW" w:bidi="zh-TW"/>
        </w:rPr>
        <w:t xml:space="preserve">者， 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得與其第二年績效合併計算。第二年績效為其第一年及第二年應達績效的加總平均值，視為通過本績效評鑑。</w:t>
      </w:r>
    </w:p>
    <w:p w14:paraId="381BAAEA" w14:textId="77777777" w:rsidR="00AF31C0" w:rsidRPr="00A23CF9" w:rsidRDefault="00AF31C0" w:rsidP="00A23CF9">
      <w:pPr>
        <w:autoSpaceDE w:val="0"/>
        <w:autoSpaceDN w:val="0"/>
        <w:spacing w:line="3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Times New Roman" w:eastAsia="Times New Roman" w:hAnsi="標楷體" w:cs="標楷體"/>
          <w:color w:val="000000" w:themeColor="text1"/>
          <w:spacing w:val="-60"/>
          <w:kern w:val="0"/>
          <w:szCs w:val="24"/>
          <w:lang w:val="zh-TW" w:bidi="zh-TW"/>
        </w:rPr>
        <w:t xml:space="preserve"> 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教師每學期授</w:t>
      </w:r>
      <w:r w:rsidRPr="00A23CF9">
        <w:rPr>
          <w:rFonts w:ascii="標楷體" w:eastAsia="標楷體" w:hAnsi="標楷體" w:cs="標楷體"/>
          <w:color w:val="000000" w:themeColor="text1"/>
          <w:spacing w:val="-11"/>
          <w:kern w:val="0"/>
          <w:szCs w:val="24"/>
          <w:lang w:val="zh-TW" w:bidi="zh-TW"/>
        </w:rPr>
        <w:t>課</w:t>
      </w:r>
      <w:r w:rsidRPr="00A23CF9">
        <w:rPr>
          <w:rFonts w:ascii="標楷體" w:eastAsia="標楷體" w:hAnsi="標楷體" w:cs="標楷體" w:hint="eastAsia"/>
          <w:color w:val="000000" w:themeColor="text1"/>
          <w:spacing w:val="-11"/>
          <w:kern w:val="0"/>
          <w:szCs w:val="24"/>
          <w:lang w:val="zh-TW" w:bidi="zh-TW"/>
        </w:rPr>
        <w:t>須符合師資質量考核標準</w:t>
      </w:r>
      <w:r w:rsidRPr="00A23CF9">
        <w:rPr>
          <w:rFonts w:ascii="標楷體" w:eastAsia="標楷體" w:hAnsi="標楷體" w:cs="標楷體"/>
          <w:color w:val="000000" w:themeColor="text1"/>
          <w:spacing w:val="-11"/>
          <w:kern w:val="0"/>
          <w:szCs w:val="24"/>
          <w:lang w:val="zh-TW" w:bidi="zh-TW"/>
        </w:rPr>
        <w:t>；達各該類第一階段評鑑標準</w:t>
      </w:r>
      <w:r w:rsidRPr="00A23CF9">
        <w:rPr>
          <w:rFonts w:ascii="標楷體" w:eastAsia="標楷體" w:hAnsi="標楷體" w:cs="標楷體" w:hint="eastAsia"/>
          <w:color w:val="000000" w:themeColor="text1"/>
          <w:spacing w:val="-11"/>
          <w:kern w:val="0"/>
          <w:szCs w:val="24"/>
          <w:lang w:val="zh-TW" w:bidi="zh-TW"/>
        </w:rPr>
        <w:t>百分之三百</w:t>
      </w:r>
      <w:r w:rsidRPr="00A23CF9">
        <w:rPr>
          <w:rFonts w:ascii="標楷體" w:eastAsia="標楷體" w:hAnsi="標楷體" w:cs="標楷體"/>
          <w:color w:val="000000" w:themeColor="text1"/>
          <w:spacing w:val="-29"/>
          <w:kern w:val="0"/>
          <w:szCs w:val="24"/>
          <w:lang w:val="zh-TW" w:bidi="zh-TW"/>
        </w:rPr>
        <w:t>者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（教學型採用教學及產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研</w:t>
      </w:r>
      <w:proofErr w:type="gramEnd"/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型第一階段考核績效標準</w:t>
      </w:r>
      <w:r w:rsidRPr="00A23CF9">
        <w:rPr>
          <w:rFonts w:ascii="標楷體" w:eastAsia="標楷體" w:hAnsi="標楷體" w:cs="標楷體"/>
          <w:color w:val="000000" w:themeColor="text1"/>
          <w:spacing w:val="-135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spacing w:val="-14"/>
          <w:kern w:val="0"/>
          <w:szCs w:val="24"/>
          <w:lang w:val="zh-TW" w:bidi="zh-TW"/>
        </w:rPr>
        <w:t>，始可進入</w:t>
      </w:r>
      <w:proofErr w:type="gramStart"/>
      <w:r w:rsidRPr="00A23CF9">
        <w:rPr>
          <w:rFonts w:ascii="標楷體" w:eastAsia="標楷體" w:hAnsi="標楷體" w:cs="標楷體" w:hint="eastAsia"/>
          <w:color w:val="000000" w:themeColor="text1"/>
          <w:spacing w:val="-14"/>
          <w:kern w:val="0"/>
          <w:szCs w:val="24"/>
          <w:lang w:val="zh-TW" w:bidi="zh-TW"/>
        </w:rPr>
        <w:t>二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年期聘</w:t>
      </w:r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約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之審議。</w:t>
      </w:r>
    </w:p>
    <w:p w14:paraId="18789DB7" w14:textId="77777777" w:rsidR="00AF31C0" w:rsidRPr="00A23CF9" w:rsidRDefault="00AF31C0" w:rsidP="00A23CF9">
      <w:pPr>
        <w:autoSpaceDE w:val="0"/>
        <w:autoSpaceDN w:val="0"/>
        <w:spacing w:line="300" w:lineRule="exact"/>
        <w:jc w:val="both"/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  <w:lang w:val="zh-TW" w:bidi="zh-TW"/>
        </w:rPr>
      </w:pPr>
      <w:r w:rsidRPr="00A23CF9">
        <w:rPr>
          <w:rFonts w:ascii="Times New Roman" w:eastAsia="Times New Roman" w:hAnsi="標楷體" w:cs="標楷體"/>
          <w:color w:val="000000" w:themeColor="text1"/>
          <w:spacing w:val="-60"/>
          <w:kern w:val="0"/>
          <w:szCs w:val="24"/>
          <w:lang w:val="zh-TW" w:bidi="zh-TW"/>
        </w:rPr>
        <w:t xml:space="preserve"> </w:t>
      </w:r>
      <w:r w:rsidRPr="00A23CF9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  <w:lang w:val="zh-TW" w:bidi="zh-TW"/>
        </w:rPr>
        <w:t>本</w:t>
      </w:r>
      <w:r w:rsidRPr="00A23CF9">
        <w:rPr>
          <w:rFonts w:ascii="標楷體" w:eastAsia="標楷體" w:hAnsi="標楷體" w:cs="標楷體" w:hint="eastAsia"/>
          <w:color w:val="000000" w:themeColor="text1"/>
          <w:spacing w:val="-1"/>
          <w:kern w:val="0"/>
          <w:szCs w:val="24"/>
          <w:lang w:val="zh-TW" w:bidi="zh-TW"/>
        </w:rPr>
        <w:t>要點</w:t>
      </w:r>
      <w:r w:rsidRPr="00A23CF9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  <w:lang w:val="zh-TW" w:bidi="zh-TW"/>
        </w:rPr>
        <w:t>所述之公民營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企業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、其他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  <w:lang w:val="zh-TW" w:bidi="zh-TW"/>
        </w:rPr>
        <w:t>產學案係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1"/>
          <w:kern w:val="0"/>
          <w:szCs w:val="24"/>
          <w:lang w:val="zh-TW" w:bidi="zh-TW"/>
        </w:rPr>
        <w:t>依據技專校院校務資料庫定義。</w:t>
      </w:r>
    </w:p>
    <w:p w14:paraId="66472CA0" w14:textId="77777777" w:rsidR="00AF31C0" w:rsidRPr="00A23CF9" w:rsidRDefault="00AF31C0" w:rsidP="00A23CF9">
      <w:pPr>
        <w:autoSpaceDE w:val="0"/>
        <w:autoSpaceDN w:val="0"/>
        <w:spacing w:line="300" w:lineRule="exact"/>
        <w:ind w:hanging="497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九</w:t>
      </w:r>
      <w:r w:rsidRPr="00A23CF9">
        <w:rPr>
          <w:rFonts w:ascii="新細明體" w:eastAsia="新細明體" w:hAnsi="新細明體" w:cs="標楷體" w:hint="eastAsia"/>
          <w:color w:val="000000" w:themeColor="text1"/>
          <w:kern w:val="0"/>
          <w:szCs w:val="24"/>
          <w:lang w:val="zh-TW" w:bidi="zh-TW"/>
        </w:rPr>
        <w:t>、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第二階段評鑑之點數依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各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院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第二階段評鑑標準計算之，</w:t>
      </w:r>
      <w:r w:rsidRPr="00A23CF9">
        <w:rPr>
          <w:rFonts w:ascii="標楷體" w:eastAsia="標楷體" w:hAnsi="標楷體" w:cs="標楷體"/>
          <w:color w:val="000000" w:themeColor="text1"/>
          <w:spacing w:val="-6"/>
          <w:kern w:val="0"/>
          <w:szCs w:val="24"/>
          <w:lang w:val="zh-TW" w:bidi="zh-TW"/>
        </w:rPr>
        <w:t>比例分配為教學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百分之五十</w:t>
      </w:r>
      <w:r w:rsidRPr="00A23CF9">
        <w:rPr>
          <w:rFonts w:ascii="標楷體" w:eastAsia="標楷體" w:hAnsi="標楷體" w:cs="標楷體"/>
          <w:color w:val="000000" w:themeColor="text1"/>
          <w:spacing w:val="-140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spacing w:val="-18"/>
          <w:kern w:val="0"/>
          <w:szCs w:val="24"/>
          <w:lang w:val="zh-TW" w:bidi="zh-TW"/>
        </w:rPr>
        <w:t>、服務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（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百分之五十</w:t>
      </w:r>
      <w:r w:rsidRPr="00A23CF9">
        <w:rPr>
          <w:rFonts w:ascii="標楷體" w:eastAsia="標楷體" w:hAnsi="標楷體" w:cs="標楷體"/>
          <w:color w:val="000000" w:themeColor="text1"/>
          <w:spacing w:val="-137"/>
          <w:kern w:val="0"/>
          <w:szCs w:val="24"/>
          <w:lang w:val="zh-TW" w:bidi="zh-TW"/>
        </w:rPr>
        <w:t>）</w:t>
      </w:r>
      <w:r w:rsidRPr="00A23CF9">
        <w:rPr>
          <w:rFonts w:ascii="標楷體" w:eastAsia="標楷體" w:hAnsi="標楷體" w:cs="標楷體"/>
          <w:color w:val="000000" w:themeColor="text1"/>
          <w:spacing w:val="-9"/>
          <w:kern w:val="0"/>
          <w:szCs w:val="24"/>
          <w:lang w:val="zh-TW" w:bidi="zh-TW"/>
        </w:rPr>
        <w:t>。研究型、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9"/>
          <w:kern w:val="0"/>
          <w:szCs w:val="24"/>
          <w:lang w:val="zh-TW" w:bidi="zh-TW"/>
        </w:rPr>
        <w:t>產學型及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9"/>
          <w:kern w:val="0"/>
          <w:szCs w:val="24"/>
          <w:lang w:val="zh-TW" w:bidi="zh-TW"/>
        </w:rPr>
        <w:t>教學型等三類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第二階段評鑑之通過標準點</w:t>
      </w:r>
      <w:r w:rsidRPr="00A23CF9">
        <w:rPr>
          <w:rFonts w:ascii="標楷體" w:eastAsia="標楷體" w:hAnsi="標楷體" w:cs="標楷體"/>
          <w:color w:val="000000" w:themeColor="text1"/>
          <w:spacing w:val="-10"/>
          <w:kern w:val="0"/>
          <w:szCs w:val="24"/>
          <w:lang w:val="zh-TW" w:bidi="zh-TW"/>
        </w:rPr>
        <w:t>數為</w:t>
      </w:r>
      <w:r w:rsidRPr="00A23CF9">
        <w:rPr>
          <w:rFonts w:ascii="標楷體" w:eastAsia="標楷體" w:hAnsi="標楷體" w:cs="標楷體" w:hint="eastAsia"/>
          <w:color w:val="000000" w:themeColor="text1"/>
          <w:spacing w:val="-10"/>
          <w:kern w:val="0"/>
          <w:szCs w:val="24"/>
          <w:lang w:val="zh-TW" w:bidi="zh-TW"/>
        </w:rPr>
        <w:t>一百一十</w:t>
      </w:r>
      <w:r w:rsidRPr="00A23CF9">
        <w:rPr>
          <w:rFonts w:ascii="標楷體" w:eastAsia="標楷體" w:hAnsi="標楷體" w:cs="標楷體"/>
          <w:color w:val="000000" w:themeColor="text1"/>
          <w:spacing w:val="-16"/>
          <w:kern w:val="0"/>
          <w:szCs w:val="24"/>
          <w:lang w:val="zh-TW" w:bidi="zh-TW"/>
        </w:rPr>
        <w:t>點</w:t>
      </w:r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，教學及產</w:t>
      </w:r>
      <w:proofErr w:type="gramStart"/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研</w:t>
      </w:r>
      <w:proofErr w:type="gramEnd"/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型</w:t>
      </w: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bidi="zh-TW"/>
        </w:rPr>
        <w:t>編制外專任教學人員</w:t>
      </w:r>
      <w:r w:rsidRPr="00A23CF9">
        <w:rPr>
          <w:rFonts w:ascii="標楷體" w:eastAsia="標楷體" w:hAnsi="標楷體" w:cs="標楷體"/>
          <w:color w:val="000000" w:themeColor="text1"/>
          <w:spacing w:val="-2"/>
          <w:kern w:val="0"/>
          <w:szCs w:val="24"/>
          <w:lang w:val="zh-TW" w:bidi="zh-TW"/>
        </w:rPr>
        <w:t>第二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階段評鑑之通過標準點</w:t>
      </w:r>
      <w:r w:rsidRPr="00A23CF9">
        <w:rPr>
          <w:rFonts w:ascii="標楷體" w:eastAsia="標楷體" w:hAnsi="標楷體" w:cs="標楷體"/>
          <w:color w:val="000000" w:themeColor="text1"/>
          <w:spacing w:val="-20"/>
          <w:kern w:val="0"/>
          <w:szCs w:val="24"/>
          <w:lang w:val="zh-TW" w:bidi="zh-TW"/>
        </w:rPr>
        <w:t>數為</w:t>
      </w:r>
      <w:r w:rsidRPr="00A23CF9">
        <w:rPr>
          <w:rFonts w:ascii="標楷體" w:eastAsia="標楷體" w:hAnsi="標楷體" w:cs="標楷體" w:hint="eastAsia"/>
          <w:color w:val="000000" w:themeColor="text1"/>
          <w:spacing w:val="-20"/>
          <w:kern w:val="0"/>
          <w:szCs w:val="24"/>
          <w:lang w:val="zh-TW" w:bidi="zh-TW"/>
        </w:rPr>
        <w:t>二百</w:t>
      </w:r>
      <w:r w:rsidRPr="00A23CF9">
        <w:rPr>
          <w:rFonts w:ascii="標楷體" w:eastAsia="標楷體" w:hAnsi="標楷體" w:cs="標楷體"/>
          <w:color w:val="000000" w:themeColor="text1"/>
          <w:spacing w:val="-30"/>
          <w:kern w:val="0"/>
          <w:szCs w:val="24"/>
          <w:lang w:val="zh-TW" w:bidi="zh-TW"/>
        </w:rPr>
        <w:t>點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。</w:t>
      </w:r>
    </w:p>
    <w:p w14:paraId="09B4BEC2" w14:textId="77777777" w:rsidR="00A23CF9" w:rsidRDefault="00AF31C0" w:rsidP="00A23CF9">
      <w:pPr>
        <w:autoSpaceDE w:val="0"/>
        <w:autoSpaceDN w:val="0"/>
        <w:spacing w:line="300" w:lineRule="exact"/>
        <w:ind w:hanging="497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 w:hint="eastAsia"/>
          <w:color w:val="000000" w:themeColor="text1"/>
          <w:kern w:val="0"/>
          <w:szCs w:val="24"/>
          <w:lang w:val="zh-TW" w:bidi="zh-TW"/>
        </w:rPr>
        <w:t>十、本要點自中華民國一百一十二年八月一日起施行。</w:t>
      </w:r>
    </w:p>
    <w:p w14:paraId="2035DAE2" w14:textId="2FFFF708" w:rsidR="00AF31C0" w:rsidRPr="00A23CF9" w:rsidRDefault="00AF31C0" w:rsidP="00A23CF9">
      <w:pPr>
        <w:autoSpaceDE w:val="0"/>
        <w:autoSpaceDN w:val="0"/>
        <w:spacing w:line="300" w:lineRule="exact"/>
        <w:ind w:hanging="497"/>
        <w:jc w:val="both"/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</w:pP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十</w:t>
      </w:r>
      <w:r w:rsidRPr="00A23CF9">
        <w:rPr>
          <w:rFonts w:ascii="標楷體" w:eastAsia="標楷體" w:hAnsi="標楷體" w:cs="標楷體" w:hint="eastAsia"/>
          <w:color w:val="000000" w:themeColor="text1"/>
          <w:spacing w:val="-7"/>
          <w:kern w:val="0"/>
          <w:szCs w:val="24"/>
          <w:lang w:val="zh-TW" w:bidi="zh-TW"/>
        </w:rPr>
        <w:t>一</w:t>
      </w: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、本</w:t>
      </w:r>
      <w:r w:rsidRPr="00A23CF9">
        <w:rPr>
          <w:rFonts w:ascii="標楷體" w:eastAsia="標楷體" w:hAnsi="標楷體" w:cs="標楷體" w:hint="eastAsia"/>
          <w:color w:val="000000" w:themeColor="text1"/>
          <w:spacing w:val="-7"/>
          <w:kern w:val="0"/>
          <w:szCs w:val="24"/>
          <w:lang w:val="zh-TW" w:bidi="zh-TW"/>
        </w:rPr>
        <w:t>要點</w:t>
      </w: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經</w:t>
      </w:r>
      <w:r w:rsidRPr="00A23CF9">
        <w:rPr>
          <w:rFonts w:ascii="標楷體" w:eastAsia="標楷體" w:hAnsi="標楷體" w:cs="標楷體" w:hint="eastAsia"/>
          <w:color w:val="000000" w:themeColor="text1"/>
          <w:spacing w:val="-7"/>
          <w:kern w:val="0"/>
          <w:szCs w:val="24"/>
          <w:lang w:val="zh-TW" w:bidi="zh-TW"/>
        </w:rPr>
        <w:t>校</w:t>
      </w: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教師評審委員會通過，送</w:t>
      </w:r>
      <w:r w:rsidRPr="00A23CF9">
        <w:rPr>
          <w:rFonts w:ascii="標楷體" w:eastAsia="標楷體" w:hAnsi="標楷體" w:cs="標楷體" w:hint="eastAsia"/>
          <w:color w:val="000000" w:themeColor="text1"/>
          <w:spacing w:val="-7"/>
          <w:kern w:val="0"/>
          <w:szCs w:val="24"/>
          <w:lang w:val="zh-TW" w:bidi="zh-TW"/>
        </w:rPr>
        <w:t>行政會議審議通過</w:t>
      </w:r>
      <w:r w:rsidRPr="00A23CF9">
        <w:rPr>
          <w:rFonts w:ascii="標楷體" w:eastAsia="標楷體" w:hAnsi="標楷體" w:cs="標楷體"/>
          <w:color w:val="000000" w:themeColor="text1"/>
          <w:spacing w:val="-7"/>
          <w:kern w:val="0"/>
          <w:szCs w:val="24"/>
          <w:lang w:val="zh-TW" w:bidi="zh-TW"/>
        </w:rPr>
        <w:t>後實施，修正亦</w:t>
      </w:r>
      <w:r w:rsidRPr="00A23CF9">
        <w:rPr>
          <w:rFonts w:ascii="標楷體" w:eastAsia="標楷體" w:hAnsi="標楷體" w:cs="標楷體"/>
          <w:color w:val="000000" w:themeColor="text1"/>
          <w:kern w:val="0"/>
          <w:szCs w:val="24"/>
          <w:lang w:val="zh-TW" w:bidi="zh-TW"/>
        </w:rPr>
        <w:t>同。</w:t>
      </w:r>
    </w:p>
    <w:p w14:paraId="0336BB47" w14:textId="65BB4D9C" w:rsidR="00CB16B4" w:rsidRPr="00AF31C0" w:rsidRDefault="00CB16B4" w:rsidP="00CB16B4">
      <w:pPr>
        <w:widowControl/>
        <w:spacing w:line="440" w:lineRule="exact"/>
        <w:ind w:left="480" w:hangingChars="200" w:hanging="480"/>
        <w:rPr>
          <w:rFonts w:ascii="標楷體" w:eastAsia="標楷體" w:hAnsi="標楷體"/>
        </w:rPr>
      </w:pPr>
    </w:p>
    <w:p w14:paraId="5D9D4A11" w14:textId="762F4A56" w:rsidR="00CB16B4" w:rsidRDefault="00CB16B4" w:rsidP="00CB16B4">
      <w:pPr>
        <w:widowControl/>
        <w:spacing w:line="440" w:lineRule="exact"/>
        <w:ind w:left="480" w:hangingChars="200" w:hanging="480"/>
        <w:rPr>
          <w:rFonts w:ascii="標楷體" w:eastAsia="標楷體" w:hAnsi="標楷體"/>
        </w:rPr>
      </w:pPr>
    </w:p>
    <w:p w14:paraId="0F43AF1F" w14:textId="32A1DEB3" w:rsidR="00CB16B4" w:rsidRDefault="00CB16B4" w:rsidP="00CB16B4">
      <w:pPr>
        <w:widowControl/>
        <w:spacing w:line="440" w:lineRule="exact"/>
        <w:ind w:left="480" w:hangingChars="200" w:hanging="480"/>
        <w:rPr>
          <w:rFonts w:ascii="標楷體" w:eastAsia="標楷體" w:hAnsi="標楷體"/>
        </w:rPr>
      </w:pPr>
    </w:p>
    <w:p w14:paraId="06E959D7" w14:textId="4128344B" w:rsidR="00CB16B4" w:rsidRDefault="00CB16B4" w:rsidP="00CB16B4">
      <w:pPr>
        <w:widowControl/>
        <w:spacing w:line="440" w:lineRule="exact"/>
        <w:ind w:left="480" w:hangingChars="200" w:hanging="480"/>
        <w:rPr>
          <w:rFonts w:ascii="標楷體" w:eastAsia="標楷體" w:hAnsi="標楷體"/>
        </w:rPr>
      </w:pPr>
    </w:p>
    <w:p w14:paraId="3E6AFB03" w14:textId="292C6CCC" w:rsidR="00CB16B4" w:rsidRDefault="00CB16B4" w:rsidP="00CB16B4">
      <w:pPr>
        <w:widowControl/>
        <w:spacing w:line="440" w:lineRule="exact"/>
        <w:ind w:left="480" w:hangingChars="200" w:hanging="480"/>
        <w:rPr>
          <w:rFonts w:ascii="標楷體" w:eastAsia="標楷體" w:hAnsi="標楷體"/>
        </w:rPr>
      </w:pPr>
    </w:p>
    <w:p w14:paraId="3A4AB2DB" w14:textId="1DF8902A" w:rsidR="00446937" w:rsidRPr="00446937" w:rsidRDefault="00446937" w:rsidP="00446937">
      <w:pPr>
        <w:widowControl/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</w:p>
    <w:sectPr w:rsidR="00446937" w:rsidRPr="00446937" w:rsidSect="00446937">
      <w:pgSz w:w="11906" w:h="16838"/>
      <w:pgMar w:top="992" w:right="1418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5B99" w14:textId="77777777" w:rsidR="008377BB" w:rsidRDefault="008377BB" w:rsidP="00615AAC">
      <w:r>
        <w:separator/>
      </w:r>
    </w:p>
  </w:endnote>
  <w:endnote w:type="continuationSeparator" w:id="0">
    <w:p w14:paraId="1316594B" w14:textId="77777777" w:rsidR="008377BB" w:rsidRDefault="008377BB" w:rsidP="006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9E83" w14:textId="77777777" w:rsidR="008377BB" w:rsidRDefault="008377BB" w:rsidP="00615AAC">
      <w:r>
        <w:separator/>
      </w:r>
    </w:p>
  </w:footnote>
  <w:footnote w:type="continuationSeparator" w:id="0">
    <w:p w14:paraId="4B072DCF" w14:textId="77777777" w:rsidR="008377BB" w:rsidRDefault="008377BB" w:rsidP="0061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E42"/>
    <w:multiLevelType w:val="hybridMultilevel"/>
    <w:tmpl w:val="BF5C9FF6"/>
    <w:lvl w:ilvl="0" w:tplc="131C89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CA8"/>
    <w:multiLevelType w:val="hybridMultilevel"/>
    <w:tmpl w:val="8AF08878"/>
    <w:lvl w:ilvl="0" w:tplc="F0B2A060">
      <w:start w:val="1"/>
      <w:numFmt w:val="decimalFullWidth"/>
      <w:lvlText w:val="%1."/>
      <w:lvlJc w:val="left"/>
      <w:pPr>
        <w:ind w:left="1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2BF16BBB"/>
    <w:multiLevelType w:val="multilevel"/>
    <w:tmpl w:val="79C4F91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C957951"/>
    <w:multiLevelType w:val="multilevel"/>
    <w:tmpl w:val="BB566EF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FF94BE3"/>
    <w:multiLevelType w:val="multilevel"/>
    <w:tmpl w:val="0A2EC5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38955E1"/>
    <w:multiLevelType w:val="multilevel"/>
    <w:tmpl w:val="BD0C0C4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7F0011E"/>
    <w:multiLevelType w:val="hybridMultilevel"/>
    <w:tmpl w:val="9D10D490"/>
    <w:lvl w:ilvl="0" w:tplc="593EFD76">
      <w:start w:val="1"/>
      <w:numFmt w:val="taiwaneseCountingThousand"/>
      <w:lvlText w:val="(%1)"/>
      <w:lvlJc w:val="left"/>
      <w:pPr>
        <w:ind w:left="1108" w:hanging="400"/>
      </w:pPr>
      <w:rPr>
        <w:rFonts w:hint="default"/>
        <w:color w:val="000000" w:themeColor="text1"/>
        <w:u w:val="none"/>
      </w:rPr>
    </w:lvl>
    <w:lvl w:ilvl="1" w:tplc="90EC3688">
      <w:start w:val="2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8A35689"/>
    <w:multiLevelType w:val="hybridMultilevel"/>
    <w:tmpl w:val="8138A53E"/>
    <w:lvl w:ilvl="0" w:tplc="D1844E7C">
      <w:start w:val="1"/>
      <w:numFmt w:val="taiwaneseCountingThousand"/>
      <w:lvlText w:val="（%1）"/>
      <w:lvlJc w:val="left"/>
      <w:pPr>
        <w:ind w:left="21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8" w15:restartNumberingAfterBreak="0">
    <w:nsid w:val="7A5E379B"/>
    <w:multiLevelType w:val="hybridMultilevel"/>
    <w:tmpl w:val="FE28F7A6"/>
    <w:lvl w:ilvl="0" w:tplc="630C4D6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4F"/>
    <w:rsid w:val="00006EA3"/>
    <w:rsid w:val="000140F2"/>
    <w:rsid w:val="00033DC8"/>
    <w:rsid w:val="000366DF"/>
    <w:rsid w:val="00041A47"/>
    <w:rsid w:val="0005212A"/>
    <w:rsid w:val="00073A47"/>
    <w:rsid w:val="000D5C2D"/>
    <w:rsid w:val="000E1DED"/>
    <w:rsid w:val="000E6374"/>
    <w:rsid w:val="000F5575"/>
    <w:rsid w:val="00114D94"/>
    <w:rsid w:val="0013029B"/>
    <w:rsid w:val="00146857"/>
    <w:rsid w:val="00146CED"/>
    <w:rsid w:val="00173867"/>
    <w:rsid w:val="001A109E"/>
    <w:rsid w:val="001F2D5E"/>
    <w:rsid w:val="001F395E"/>
    <w:rsid w:val="00220B6E"/>
    <w:rsid w:val="00235E91"/>
    <w:rsid w:val="002571EF"/>
    <w:rsid w:val="00257F1F"/>
    <w:rsid w:val="00275839"/>
    <w:rsid w:val="00283244"/>
    <w:rsid w:val="00291F8A"/>
    <w:rsid w:val="002B708F"/>
    <w:rsid w:val="002C03EF"/>
    <w:rsid w:val="002C5EBB"/>
    <w:rsid w:val="002E5CB2"/>
    <w:rsid w:val="002F61C9"/>
    <w:rsid w:val="00377EC6"/>
    <w:rsid w:val="00396064"/>
    <w:rsid w:val="003C4217"/>
    <w:rsid w:val="0041514F"/>
    <w:rsid w:val="004308F4"/>
    <w:rsid w:val="0044128C"/>
    <w:rsid w:val="00446937"/>
    <w:rsid w:val="004610DB"/>
    <w:rsid w:val="004A1185"/>
    <w:rsid w:val="00506E5A"/>
    <w:rsid w:val="00521A74"/>
    <w:rsid w:val="00566D07"/>
    <w:rsid w:val="00567382"/>
    <w:rsid w:val="005705FE"/>
    <w:rsid w:val="00581910"/>
    <w:rsid w:val="005C573E"/>
    <w:rsid w:val="005C6F32"/>
    <w:rsid w:val="005E36FC"/>
    <w:rsid w:val="005F09C5"/>
    <w:rsid w:val="00615AAC"/>
    <w:rsid w:val="00641901"/>
    <w:rsid w:val="006451B5"/>
    <w:rsid w:val="00645B3B"/>
    <w:rsid w:val="00657705"/>
    <w:rsid w:val="006643B7"/>
    <w:rsid w:val="006A6A77"/>
    <w:rsid w:val="006D5434"/>
    <w:rsid w:val="006D6E9E"/>
    <w:rsid w:val="006F067A"/>
    <w:rsid w:val="006F10CC"/>
    <w:rsid w:val="006F15B5"/>
    <w:rsid w:val="007354A7"/>
    <w:rsid w:val="007A5402"/>
    <w:rsid w:val="007F0BC4"/>
    <w:rsid w:val="00800DC3"/>
    <w:rsid w:val="00833B40"/>
    <w:rsid w:val="008377BB"/>
    <w:rsid w:val="0084386F"/>
    <w:rsid w:val="008B1B1C"/>
    <w:rsid w:val="008F0200"/>
    <w:rsid w:val="00901F31"/>
    <w:rsid w:val="00943AD8"/>
    <w:rsid w:val="0098321D"/>
    <w:rsid w:val="00992D0F"/>
    <w:rsid w:val="00A01185"/>
    <w:rsid w:val="00A0614E"/>
    <w:rsid w:val="00A14F27"/>
    <w:rsid w:val="00A23CF9"/>
    <w:rsid w:val="00A2567D"/>
    <w:rsid w:val="00A40F24"/>
    <w:rsid w:val="00A42A7C"/>
    <w:rsid w:val="00A504E0"/>
    <w:rsid w:val="00A6441A"/>
    <w:rsid w:val="00A67EF6"/>
    <w:rsid w:val="00A87A47"/>
    <w:rsid w:val="00AC668C"/>
    <w:rsid w:val="00AD3480"/>
    <w:rsid w:val="00AF31C0"/>
    <w:rsid w:val="00AF492C"/>
    <w:rsid w:val="00B1542D"/>
    <w:rsid w:val="00B36AC0"/>
    <w:rsid w:val="00B53D5D"/>
    <w:rsid w:val="00B73C16"/>
    <w:rsid w:val="00BB2111"/>
    <w:rsid w:val="00BB7E48"/>
    <w:rsid w:val="00BC1E45"/>
    <w:rsid w:val="00BD3EAF"/>
    <w:rsid w:val="00BD7D8B"/>
    <w:rsid w:val="00BE2C51"/>
    <w:rsid w:val="00BE753F"/>
    <w:rsid w:val="00C07406"/>
    <w:rsid w:val="00C4155C"/>
    <w:rsid w:val="00C502BF"/>
    <w:rsid w:val="00C776F1"/>
    <w:rsid w:val="00CA32AD"/>
    <w:rsid w:val="00CB16B4"/>
    <w:rsid w:val="00CD320E"/>
    <w:rsid w:val="00D22DD7"/>
    <w:rsid w:val="00D26EAD"/>
    <w:rsid w:val="00D4362E"/>
    <w:rsid w:val="00D45C88"/>
    <w:rsid w:val="00D630FF"/>
    <w:rsid w:val="00D679EC"/>
    <w:rsid w:val="00D75B9A"/>
    <w:rsid w:val="00D87BE4"/>
    <w:rsid w:val="00DC56DC"/>
    <w:rsid w:val="00DE59FA"/>
    <w:rsid w:val="00DF258A"/>
    <w:rsid w:val="00E20321"/>
    <w:rsid w:val="00E96758"/>
    <w:rsid w:val="00EA66AF"/>
    <w:rsid w:val="00EC27F9"/>
    <w:rsid w:val="00EC2B6C"/>
    <w:rsid w:val="00ED394D"/>
    <w:rsid w:val="00EE0A9A"/>
    <w:rsid w:val="00EF5E80"/>
    <w:rsid w:val="00F26C2D"/>
    <w:rsid w:val="00F4049B"/>
    <w:rsid w:val="00F60089"/>
    <w:rsid w:val="00F61274"/>
    <w:rsid w:val="00F67D9C"/>
    <w:rsid w:val="00F90D52"/>
    <w:rsid w:val="00FA1B1B"/>
    <w:rsid w:val="00FE048A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FB3A"/>
  <w15:chartTrackingRefBased/>
  <w15:docId w15:val="{F31B77FC-6C64-4C51-B3C3-AB52C5B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A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AAC"/>
    <w:rPr>
      <w:sz w:val="20"/>
      <w:szCs w:val="20"/>
    </w:rPr>
  </w:style>
  <w:style w:type="table" w:styleId="a8">
    <w:name w:val="Table Grid"/>
    <w:basedOn w:val="a1"/>
    <w:uiPriority w:val="39"/>
    <w:rsid w:val="0098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114D94"/>
    <w:pPr>
      <w:autoSpaceDE w:val="0"/>
      <w:autoSpaceDN w:val="0"/>
      <w:ind w:left="1526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a">
    <w:name w:val="本文 字元"/>
    <w:basedOn w:val="a0"/>
    <w:link w:val="a9"/>
    <w:uiPriority w:val="1"/>
    <w:rsid w:val="00114D94"/>
    <w:rPr>
      <w:rFonts w:ascii="標楷體" w:eastAsia="標楷體" w:hAnsi="標楷體" w:cs="標楷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廖雪霞</dc:creator>
  <cp:keywords/>
  <dc:description/>
  <cp:lastModifiedBy>Administrator</cp:lastModifiedBy>
  <cp:revision>18</cp:revision>
  <cp:lastPrinted>2024-07-02T02:12:00Z</cp:lastPrinted>
  <dcterms:created xsi:type="dcterms:W3CDTF">2023-11-06T02:58:00Z</dcterms:created>
  <dcterms:modified xsi:type="dcterms:W3CDTF">2024-07-03T06:57:00Z</dcterms:modified>
</cp:coreProperties>
</file>