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1A0A" w14:textId="400C20F2" w:rsidR="00E9203E" w:rsidRPr="00E9203E" w:rsidRDefault="00E9203E" w:rsidP="00E9203E">
      <w:pPr>
        <w:jc w:val="center"/>
        <w:rPr>
          <w:rFonts w:cstheme="minorHAnsi"/>
          <w:b/>
          <w:bCs/>
        </w:rPr>
      </w:pPr>
      <w:r w:rsidRPr="00E9203E">
        <w:rPr>
          <w:rFonts w:cstheme="minorHAnsi"/>
          <w:b/>
          <w:bCs/>
        </w:rPr>
        <w:t>國立雲林科技大學教師借調處理要點</w:t>
      </w:r>
      <w:r>
        <w:rPr>
          <w:rFonts w:cstheme="minorHAnsi" w:hint="eastAsia"/>
          <w:b/>
          <w:bCs/>
        </w:rPr>
        <w:t xml:space="preserve"> </w:t>
      </w:r>
      <w:r>
        <w:rPr>
          <w:rFonts w:cstheme="minorHAnsi" w:hint="eastAsia"/>
          <w:b/>
          <w:bCs/>
        </w:rPr>
        <w:t>英譯</w:t>
      </w:r>
      <w:r>
        <w:rPr>
          <w:rFonts w:cstheme="minorHAnsi" w:hint="eastAsia"/>
          <w:b/>
          <w:bCs/>
        </w:rPr>
        <w:t>AI</w:t>
      </w:r>
      <w:r>
        <w:rPr>
          <w:rFonts w:cstheme="minorHAnsi" w:hint="eastAsia"/>
          <w:b/>
          <w:bCs/>
        </w:rPr>
        <w:t>版</w:t>
      </w:r>
    </w:p>
    <w:p w14:paraId="6A21ABA0" w14:textId="7F0DD23C" w:rsidR="00E9203E" w:rsidRPr="00E9203E" w:rsidRDefault="00E9203E" w:rsidP="00E9203E">
      <w:pPr>
        <w:rPr>
          <w:rFonts w:ascii="Times New Roman" w:hAnsi="Times New Roman" w:cs="Times New Roman"/>
        </w:rPr>
      </w:pPr>
      <w:r w:rsidRPr="00E9203E">
        <w:rPr>
          <w:rFonts w:ascii="Times New Roman" w:hAnsi="Times New Roman" w:cs="Times New Roman"/>
        </w:rPr>
        <w:t xml:space="preserve">National Yunlin University of Science and Technology Guidelines for </w:t>
      </w:r>
      <w:r w:rsidR="00692CF1">
        <w:rPr>
          <w:rFonts w:ascii="Times New Roman" w:hAnsi="Times New Roman" w:cs="Times New Roman"/>
        </w:rPr>
        <w:t>Faculty</w:t>
      </w:r>
      <w:r w:rsidRPr="00E9203E">
        <w:rPr>
          <w:rFonts w:ascii="Times New Roman" w:hAnsi="Times New Roman" w:cs="Times New Roman"/>
        </w:rPr>
        <w:t xml:space="preserve"> Secondment </w:t>
      </w:r>
    </w:p>
    <w:p w14:paraId="7A9C4D86" w14:textId="77777777" w:rsidR="00E9203E" w:rsidRPr="00692CF1" w:rsidRDefault="00E9203E" w:rsidP="00692CF1">
      <w:pPr>
        <w:spacing w:line="220" w:lineRule="exact"/>
        <w:jc w:val="right"/>
        <w:rPr>
          <w:sz w:val="16"/>
          <w:szCs w:val="16"/>
        </w:rPr>
      </w:pPr>
      <w:r w:rsidRPr="00692CF1">
        <w:rPr>
          <w:sz w:val="16"/>
          <w:szCs w:val="16"/>
        </w:rPr>
        <w:t>Approved at the 4th Executive Meeting of the 2006 Academic Year on September 12, 2006</w:t>
      </w:r>
    </w:p>
    <w:p w14:paraId="59570F61" w14:textId="77777777" w:rsidR="00E9203E" w:rsidRPr="00692CF1" w:rsidRDefault="00E9203E" w:rsidP="00692CF1">
      <w:pPr>
        <w:spacing w:line="220" w:lineRule="exact"/>
        <w:jc w:val="right"/>
        <w:rPr>
          <w:sz w:val="16"/>
          <w:szCs w:val="16"/>
        </w:rPr>
      </w:pPr>
      <w:r w:rsidRPr="00692CF1">
        <w:rPr>
          <w:sz w:val="16"/>
          <w:szCs w:val="16"/>
        </w:rPr>
        <w:t>Approved at the 1st Administrative Meeting of the 1st Semester of the 2006 Academic Year on September 26, 2006</w:t>
      </w:r>
    </w:p>
    <w:p w14:paraId="7BF5E642" w14:textId="77777777" w:rsidR="00E9203E" w:rsidRPr="00692CF1" w:rsidRDefault="00E9203E" w:rsidP="00692CF1">
      <w:pPr>
        <w:spacing w:line="220" w:lineRule="exact"/>
        <w:jc w:val="right"/>
        <w:rPr>
          <w:sz w:val="16"/>
          <w:szCs w:val="16"/>
        </w:rPr>
      </w:pPr>
      <w:r w:rsidRPr="00692CF1">
        <w:rPr>
          <w:sz w:val="16"/>
          <w:szCs w:val="16"/>
        </w:rPr>
        <w:t>Approved at the 7th Administrative Meeting of the 2012 Academic Year on March 26, 2013</w:t>
      </w:r>
    </w:p>
    <w:p w14:paraId="238F7301" w14:textId="77777777" w:rsidR="00E9203E" w:rsidRPr="00692CF1" w:rsidRDefault="00E9203E" w:rsidP="00692CF1">
      <w:pPr>
        <w:spacing w:line="220" w:lineRule="exact"/>
        <w:jc w:val="right"/>
        <w:rPr>
          <w:sz w:val="16"/>
          <w:szCs w:val="16"/>
        </w:rPr>
      </w:pPr>
      <w:r w:rsidRPr="00692CF1">
        <w:rPr>
          <w:sz w:val="16"/>
          <w:szCs w:val="16"/>
        </w:rPr>
        <w:t>Approved at the 1st Administrative Meeting of the 2014 Academic Year on September 16, 2014</w:t>
      </w:r>
    </w:p>
    <w:p w14:paraId="513BBF1C" w14:textId="77777777" w:rsidR="00E9203E" w:rsidRPr="00692CF1" w:rsidRDefault="00E9203E" w:rsidP="00692CF1">
      <w:pPr>
        <w:spacing w:line="220" w:lineRule="exact"/>
        <w:jc w:val="right"/>
        <w:rPr>
          <w:sz w:val="16"/>
          <w:szCs w:val="16"/>
        </w:rPr>
      </w:pPr>
      <w:r w:rsidRPr="00692CF1">
        <w:rPr>
          <w:sz w:val="16"/>
          <w:szCs w:val="16"/>
        </w:rPr>
        <w:t>Approved at the 5th Administrative Meeting of the 2015 Academic Year on December 22, 2015</w:t>
      </w:r>
    </w:p>
    <w:p w14:paraId="7C1F7587" w14:textId="77777777" w:rsidR="00E9203E" w:rsidRPr="00692CF1" w:rsidRDefault="00E9203E" w:rsidP="00692CF1">
      <w:pPr>
        <w:spacing w:line="220" w:lineRule="exact"/>
        <w:jc w:val="right"/>
        <w:rPr>
          <w:sz w:val="16"/>
          <w:szCs w:val="16"/>
        </w:rPr>
      </w:pPr>
      <w:r w:rsidRPr="00692CF1">
        <w:rPr>
          <w:sz w:val="16"/>
          <w:szCs w:val="16"/>
        </w:rPr>
        <w:t>Approved at the 10th Administrative Meeting of the 2015 Academic Year on May 27, 2016</w:t>
      </w:r>
    </w:p>
    <w:p w14:paraId="5DECAC82" w14:textId="77777777" w:rsidR="00E9203E" w:rsidRPr="00692CF1" w:rsidRDefault="00E9203E" w:rsidP="00692CF1">
      <w:pPr>
        <w:spacing w:line="220" w:lineRule="exact"/>
        <w:jc w:val="right"/>
        <w:rPr>
          <w:sz w:val="16"/>
          <w:szCs w:val="16"/>
        </w:rPr>
      </w:pPr>
      <w:r w:rsidRPr="00692CF1">
        <w:rPr>
          <w:sz w:val="16"/>
          <w:szCs w:val="16"/>
        </w:rPr>
        <w:t>Approved at the 6th Administrative Meeting of the 2016 Academic Year on February 21, 2017</w:t>
      </w:r>
    </w:p>
    <w:p w14:paraId="5BA2E9CA" w14:textId="77777777" w:rsidR="00E9203E" w:rsidRPr="00692CF1" w:rsidRDefault="00E9203E" w:rsidP="00692CF1">
      <w:pPr>
        <w:spacing w:line="220" w:lineRule="exact"/>
        <w:jc w:val="right"/>
        <w:rPr>
          <w:sz w:val="16"/>
          <w:szCs w:val="16"/>
        </w:rPr>
      </w:pPr>
      <w:r w:rsidRPr="00692CF1">
        <w:rPr>
          <w:sz w:val="16"/>
          <w:szCs w:val="16"/>
        </w:rPr>
        <w:t>Approved at the 3rd Administrative Meeting of the 2021 Academic Year on November 16, 2021</w:t>
      </w:r>
    </w:p>
    <w:p w14:paraId="0370FB58" w14:textId="7477C023" w:rsidR="00C02AEB" w:rsidRDefault="00C02AEB"/>
    <w:p w14:paraId="3112FBD9" w14:textId="70FE9D78" w:rsidR="00E9203E" w:rsidRDefault="00E9203E">
      <w:r w:rsidRPr="00E9203E">
        <w:t>Article 1</w:t>
      </w:r>
      <w:r>
        <w:rPr>
          <w:rFonts w:hint="eastAsia"/>
        </w:rPr>
        <w:t>:</w:t>
      </w:r>
      <w:r w:rsidR="00692CF1">
        <w:rPr>
          <w:rFonts w:hint="eastAsia"/>
        </w:rPr>
        <w:t xml:space="preserve"> </w:t>
      </w:r>
      <w:r w:rsidRPr="00E9203E">
        <w:t>These guidelines are established in accordance with the "Principles for the Secondment of Teachers" promulgated by the Ministry of Education.</w:t>
      </w:r>
    </w:p>
    <w:p w14:paraId="5FD28CC9" w14:textId="2B6FDE9A" w:rsidR="00E9203E" w:rsidRDefault="00E9203E"/>
    <w:p w14:paraId="7DBB7CC7" w14:textId="57B94FBB" w:rsidR="00E9203E" w:rsidRDefault="00E9203E">
      <w:r w:rsidRPr="00E9203E">
        <w:t xml:space="preserve">Article </w:t>
      </w:r>
      <w:r>
        <w:rPr>
          <w:rFonts w:hint="eastAsia"/>
        </w:rPr>
        <w:t>2:</w:t>
      </w:r>
      <w:r w:rsidRPr="00E9203E">
        <w:t xml:space="preserve"> As a general rule, full-time </w:t>
      </w:r>
      <w:r w:rsidR="00692CF1">
        <w:t>faculty members</w:t>
      </w:r>
      <w:r w:rsidR="00692CF1" w:rsidRPr="00E9203E">
        <w:t xml:space="preserve"> </w:t>
      </w:r>
      <w:r w:rsidRPr="00E9203E">
        <w:t xml:space="preserve">within the </w:t>
      </w:r>
      <w:r w:rsidR="00692CF1" w:rsidRPr="00E9203E">
        <w:t>Yun</w:t>
      </w:r>
      <w:r w:rsidR="00692CF1">
        <w:t>T</w:t>
      </w:r>
      <w:r w:rsidR="00692CF1" w:rsidRPr="00E9203E">
        <w:t xml:space="preserve">ech </w:t>
      </w:r>
      <w:r w:rsidRPr="00E9203E">
        <w:t>organization are seconded to central and local government agencies, either as heads of departments at or above the 13th rank (or equivalent), as Presidents or Vice Presidents of public and private universities and colleges, as heads of public and private enterprises, or as actual operational supervisors of foundations.</w:t>
      </w:r>
    </w:p>
    <w:p w14:paraId="41E961F3" w14:textId="7B34A354" w:rsidR="00E9203E" w:rsidRDefault="00E9203E">
      <w:r w:rsidRPr="00E9203E">
        <w:t xml:space="preserve">During the secondment period, all </w:t>
      </w:r>
      <w:r w:rsidR="00692CF1">
        <w:t>faculty members</w:t>
      </w:r>
      <w:r w:rsidR="00692CF1" w:rsidRPr="00E9203E">
        <w:t xml:space="preserve"> </w:t>
      </w:r>
      <w:r w:rsidRPr="00E9203E">
        <w:t>will be granted leave without pay, and the total number of years on secondment shall not exceed four years.</w:t>
      </w:r>
    </w:p>
    <w:p w14:paraId="0030CD64" w14:textId="3416EC04" w:rsidR="00E9203E" w:rsidRDefault="00E9203E">
      <w:r w:rsidRPr="00E9203E">
        <w:t>Should a teacher be unable to return to their position at the university the day following the end of their secondment period or the cessation of the reason for their secondment, it will be considered as a voluntary resignation.</w:t>
      </w:r>
    </w:p>
    <w:p w14:paraId="6E692C4B" w14:textId="53D52717" w:rsidR="00E9203E" w:rsidRDefault="00E9203E"/>
    <w:p w14:paraId="33498249" w14:textId="74FB623E" w:rsidR="00E9203E" w:rsidRDefault="00E9203E">
      <w:r w:rsidRPr="00E9203E">
        <w:t xml:space="preserve">Article </w:t>
      </w:r>
      <w:r>
        <w:rPr>
          <w:rFonts w:hint="eastAsia"/>
        </w:rPr>
        <w:t>3:</w:t>
      </w:r>
      <w:r w:rsidRPr="00E9203E">
        <w:t xml:space="preserve"> Personnel </w:t>
      </w:r>
      <w:r w:rsidR="00692CF1">
        <w:t>to be seconded</w:t>
      </w:r>
      <w:r w:rsidRPr="00E9203E">
        <w:t xml:space="preserve"> must have served at </w:t>
      </w:r>
      <w:r w:rsidR="00692CF1" w:rsidRPr="00E9203E">
        <w:t>Yun</w:t>
      </w:r>
      <w:r w:rsidR="00692CF1">
        <w:t>T</w:t>
      </w:r>
      <w:r w:rsidR="00692CF1" w:rsidRPr="00E9203E">
        <w:t xml:space="preserve">ech </w:t>
      </w:r>
      <w:r w:rsidRPr="00E9203E">
        <w:t>for three consecutive academic years or more (exceptions may be made for special circumstances, subject to approval by the administrative meeting). After approval by the department (institute, center) affairs meeting, the request for secondment must be submitted to the Dean of College and the President for approval before being returned to the seconding institution (school).</w:t>
      </w:r>
    </w:p>
    <w:p w14:paraId="51B0886A" w14:textId="7C6E1E46" w:rsidR="00E9203E" w:rsidRDefault="00E9203E"/>
    <w:p w14:paraId="278C667B" w14:textId="0819F4D8" w:rsidR="00E9203E" w:rsidRDefault="00E9203E">
      <w:r w:rsidRPr="00E9203E">
        <w:t xml:space="preserve">Article </w:t>
      </w:r>
      <w:r>
        <w:rPr>
          <w:rFonts w:hint="eastAsia"/>
        </w:rPr>
        <w:t>4:</w:t>
      </w:r>
      <w:r w:rsidRPr="00E9203E">
        <w:t xml:space="preserve"> The conditions for secondment should be limited to those related to the expertise and courses taught by the seconded personnel, or due to special business needs.</w:t>
      </w:r>
    </w:p>
    <w:p w14:paraId="66D2B4BE" w14:textId="3C6CD8A8" w:rsidR="00E9203E" w:rsidRDefault="00E9203E"/>
    <w:p w14:paraId="36C073A2" w14:textId="502E22EF" w:rsidR="00E9203E" w:rsidRDefault="00E9203E">
      <w:r w:rsidRPr="00E9203E">
        <w:t xml:space="preserve">Article </w:t>
      </w:r>
      <w:r>
        <w:rPr>
          <w:rFonts w:hint="eastAsia"/>
        </w:rPr>
        <w:t>5:</w:t>
      </w:r>
      <w:r w:rsidRPr="00E9203E">
        <w:t xml:space="preserve"> </w:t>
      </w:r>
      <w:r w:rsidRPr="00F27FA8">
        <w:rPr>
          <w:rFonts w:cstheme="minorHAnsi"/>
        </w:rPr>
        <w:t xml:space="preserve">The number of </w:t>
      </w:r>
      <w:r w:rsidR="00692CF1">
        <w:rPr>
          <w:rFonts w:cstheme="minorHAnsi"/>
        </w:rPr>
        <w:t>faculty members</w:t>
      </w:r>
      <w:r w:rsidR="00692CF1" w:rsidRPr="00F27FA8">
        <w:rPr>
          <w:rFonts w:cstheme="minorHAnsi"/>
        </w:rPr>
        <w:t xml:space="preserve"> </w:t>
      </w:r>
      <w:r w:rsidRPr="00F27FA8">
        <w:rPr>
          <w:rFonts w:cstheme="minorHAnsi"/>
        </w:rPr>
        <w:t xml:space="preserve">seconded from each department (institute, center) per semester should not exceed ten percent of the total number of </w:t>
      </w:r>
      <w:r w:rsidR="00692CF1">
        <w:rPr>
          <w:rFonts w:cstheme="minorHAnsi"/>
        </w:rPr>
        <w:t>faculty</w:t>
      </w:r>
      <w:r w:rsidR="00692CF1" w:rsidRPr="00F27FA8">
        <w:rPr>
          <w:rFonts w:cstheme="minorHAnsi"/>
        </w:rPr>
        <w:t xml:space="preserve"> </w:t>
      </w:r>
      <w:r w:rsidRPr="00F27FA8">
        <w:rPr>
          <w:rFonts w:cstheme="minorHAnsi"/>
        </w:rPr>
        <w:t xml:space="preserve">in the department (institute, center). If the calculation results in less than one person, it can be counted as one person; for merged departments and institutes, the </w:t>
      </w:r>
      <w:r w:rsidRPr="00F27FA8">
        <w:rPr>
          <w:rFonts w:cstheme="minorHAnsi"/>
        </w:rPr>
        <w:lastRenderedPageBreak/>
        <w:t>calculation should be combined</w:t>
      </w:r>
      <w:r w:rsidRPr="00F27FA8">
        <w:t>.</w:t>
      </w:r>
    </w:p>
    <w:p w14:paraId="2BE3AE2A" w14:textId="589D4178" w:rsidR="00E9203E" w:rsidRDefault="00E9203E"/>
    <w:p w14:paraId="23E58BFC" w14:textId="5158E6DB" w:rsidR="00E9203E" w:rsidRDefault="00E9203E">
      <w:r w:rsidRPr="00E9203E">
        <w:t xml:space="preserve">Article </w:t>
      </w:r>
      <w:r>
        <w:rPr>
          <w:rFonts w:hint="eastAsia"/>
        </w:rPr>
        <w:t>6:</w:t>
      </w:r>
      <w:r w:rsidR="00692CF1">
        <w:t xml:space="preserve"> </w:t>
      </w:r>
      <w:r w:rsidRPr="00E9203E">
        <w:t xml:space="preserve">Full-time </w:t>
      </w:r>
      <w:r w:rsidR="00692CF1">
        <w:t>faculty members</w:t>
      </w:r>
      <w:r w:rsidR="00692CF1" w:rsidRPr="00E9203E">
        <w:t xml:space="preserve"> </w:t>
      </w:r>
      <w:r w:rsidRPr="00E9203E">
        <w:t xml:space="preserve">at </w:t>
      </w:r>
      <w:r w:rsidR="00692CF1" w:rsidRPr="00E9203E">
        <w:t>Yun</w:t>
      </w:r>
      <w:r w:rsidR="00692CF1">
        <w:t>T</w:t>
      </w:r>
      <w:r w:rsidR="00692CF1" w:rsidRPr="00E9203E">
        <w:t>ech</w:t>
      </w:r>
      <w:r w:rsidRPr="00E9203E">
        <w:t>, who do not hold concurrent administrative positions, may be seconded to profit</w:t>
      </w:r>
      <w:r w:rsidR="00692CF1">
        <w:t>-seeking</w:t>
      </w:r>
      <w:r w:rsidRPr="00E9203E">
        <w:t xml:space="preserve"> enterprises to undertake professional roles related to their teaching or research expertise due to industry-academia collaboration.</w:t>
      </w:r>
    </w:p>
    <w:p w14:paraId="7445B3A9" w14:textId="310A42EC" w:rsidR="00E9203E" w:rsidRDefault="00E9203E"/>
    <w:p w14:paraId="71B61A31" w14:textId="54475D60" w:rsidR="00E9203E" w:rsidRDefault="00E9203E">
      <w:r w:rsidRPr="00E9203E">
        <w:t xml:space="preserve">Article </w:t>
      </w:r>
      <w:r>
        <w:rPr>
          <w:rFonts w:hint="eastAsia"/>
        </w:rPr>
        <w:t>7:</w:t>
      </w:r>
      <w:r w:rsidR="00692CF1">
        <w:t xml:space="preserve"> </w:t>
      </w:r>
      <w:r w:rsidRPr="00E9203E">
        <w:t>During the secondment period, seconded personnel are required to return to the university to teach at least one credit (inclusive) per semester without receiving an hourly fee. The calculation of their years of service during the secondment period shall be conducted in accordance with relevant laws and regulations.</w:t>
      </w:r>
    </w:p>
    <w:p w14:paraId="0D35D4A8" w14:textId="652BF0A5" w:rsidR="00E9203E" w:rsidRDefault="00E9203E"/>
    <w:p w14:paraId="61BBCBF2" w14:textId="5A9D435D" w:rsidR="00E9203E" w:rsidRDefault="00E9203E">
      <w:r w:rsidRPr="00E9203E">
        <w:t xml:space="preserve">Article </w:t>
      </w:r>
      <w:r>
        <w:rPr>
          <w:rFonts w:hint="eastAsia"/>
        </w:rPr>
        <w:t>8:</w:t>
      </w:r>
      <w:r w:rsidR="00692CF1">
        <w:t xml:space="preserve"> </w:t>
      </w:r>
      <w:r w:rsidRPr="00E9203E">
        <w:t xml:space="preserve">During the period of secondment, one may not serve as a representative or committee member in any university-level related meetings at </w:t>
      </w:r>
      <w:r w:rsidR="00A26A6E" w:rsidRPr="00E9203E">
        <w:t>Yun</w:t>
      </w:r>
      <w:r w:rsidR="00A26A6E">
        <w:t>T</w:t>
      </w:r>
      <w:r w:rsidR="00A26A6E" w:rsidRPr="00E9203E">
        <w:t>ech</w:t>
      </w:r>
      <w:r w:rsidRPr="00E9203E">
        <w:t>. The regulations for serving as a representative or committee member in college-level and department-level related meetings shall be determined by each college and department respectively.</w:t>
      </w:r>
    </w:p>
    <w:p w14:paraId="0760B490" w14:textId="23FBBD66" w:rsidR="00E9203E" w:rsidRDefault="00E9203E"/>
    <w:p w14:paraId="0B9DB7AB" w14:textId="5E2E1E86" w:rsidR="00E9203E" w:rsidRDefault="00E9203E">
      <w:pPr>
        <w:rPr>
          <w:rFonts w:cstheme="minorHAnsi"/>
        </w:rPr>
      </w:pPr>
      <w:r w:rsidRPr="00E9203E">
        <w:t xml:space="preserve">Article </w:t>
      </w:r>
      <w:r>
        <w:rPr>
          <w:rFonts w:hint="eastAsia"/>
        </w:rPr>
        <w:t>9:</w:t>
      </w:r>
      <w:r w:rsidRPr="00E9203E">
        <w:rPr>
          <w:rFonts w:cstheme="minorHAnsi"/>
        </w:rPr>
        <w:t xml:space="preserve"> </w:t>
      </w:r>
      <w:r w:rsidRPr="00F27FA8">
        <w:rPr>
          <w:rFonts w:cstheme="minorHAnsi"/>
        </w:rPr>
        <w:t xml:space="preserve">In response to the needs of university development, various units of </w:t>
      </w:r>
      <w:r w:rsidR="00A26A6E" w:rsidRPr="00F27FA8">
        <w:rPr>
          <w:rFonts w:cstheme="minorHAnsi"/>
        </w:rPr>
        <w:t>Yun</w:t>
      </w:r>
      <w:r w:rsidR="00A26A6E">
        <w:rPr>
          <w:rFonts w:cstheme="minorHAnsi"/>
        </w:rPr>
        <w:t>T</w:t>
      </w:r>
      <w:r w:rsidR="00A26A6E" w:rsidRPr="00F27FA8">
        <w:rPr>
          <w:rFonts w:cstheme="minorHAnsi"/>
        </w:rPr>
        <w:t xml:space="preserve">ech </w:t>
      </w:r>
      <w:r w:rsidRPr="00F27FA8">
        <w:rPr>
          <w:rFonts w:cstheme="minorHAnsi"/>
        </w:rPr>
        <w:t>may second personnel with relevant expertise from other institutions, schools, research corporations, or industries to undertake teaching, research, or administrative work.</w:t>
      </w:r>
    </w:p>
    <w:p w14:paraId="0B19FD12" w14:textId="7F0E5A2D" w:rsidR="00E9203E" w:rsidRDefault="00E9203E">
      <w:pPr>
        <w:rPr>
          <w:rFonts w:cstheme="minorHAnsi"/>
        </w:rPr>
      </w:pPr>
    </w:p>
    <w:p w14:paraId="64A66ADA" w14:textId="2A55EF6B" w:rsidR="00E9203E" w:rsidRDefault="00E9203E">
      <w:r w:rsidRPr="00E9203E">
        <w:t xml:space="preserve">Article </w:t>
      </w:r>
      <w:r>
        <w:rPr>
          <w:rFonts w:hint="eastAsia"/>
        </w:rPr>
        <w:t>10:</w:t>
      </w:r>
      <w:r w:rsidR="00A26A6E">
        <w:t xml:space="preserve"> </w:t>
      </w:r>
      <w:r w:rsidRPr="00E9203E">
        <w:t xml:space="preserve">Matters not stipulated in these guidelines shall be </w:t>
      </w:r>
      <w:r w:rsidR="00A26A6E">
        <w:t>managed</w:t>
      </w:r>
      <w:r w:rsidR="00A26A6E" w:rsidRPr="00E9203E">
        <w:t xml:space="preserve"> </w:t>
      </w:r>
      <w:r w:rsidRPr="00E9203E">
        <w:t>in accordance with relevant laws and regulations.</w:t>
      </w:r>
    </w:p>
    <w:p w14:paraId="1BF104A1" w14:textId="084B5A8D" w:rsidR="00E9203E" w:rsidRDefault="00E9203E"/>
    <w:p w14:paraId="4DDD8054" w14:textId="5F03A6C2" w:rsidR="00E9203E" w:rsidRDefault="00E9203E">
      <w:r w:rsidRPr="00E9203E">
        <w:t xml:space="preserve">Article </w:t>
      </w:r>
      <w:r>
        <w:rPr>
          <w:rFonts w:hint="eastAsia"/>
        </w:rPr>
        <w:t>11:</w:t>
      </w:r>
      <w:r w:rsidRPr="00E9203E">
        <w:t xml:space="preserve"> These guidelines have been approved by the Administrative Meeting and implemented upon the approval of the President. The same applies to any amendments.</w:t>
      </w:r>
    </w:p>
    <w:p w14:paraId="1DCA4BDC" w14:textId="77777777" w:rsidR="00A81F0D" w:rsidRPr="00A81F0D" w:rsidRDefault="00A81F0D"/>
    <w:sectPr w:rsidR="00A81F0D" w:rsidRPr="00A81F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9064" w14:textId="77777777" w:rsidR="00623211" w:rsidRDefault="00623211" w:rsidP="00A81F0D">
      <w:r>
        <w:separator/>
      </w:r>
    </w:p>
  </w:endnote>
  <w:endnote w:type="continuationSeparator" w:id="0">
    <w:p w14:paraId="6EF1DB52" w14:textId="77777777" w:rsidR="00623211" w:rsidRDefault="00623211" w:rsidP="00A8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Yu Gothic UI">
    <w:altName w:val="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ABAD" w14:textId="77777777" w:rsidR="00623211" w:rsidRDefault="00623211" w:rsidP="00A81F0D">
      <w:r>
        <w:separator/>
      </w:r>
    </w:p>
  </w:footnote>
  <w:footnote w:type="continuationSeparator" w:id="0">
    <w:p w14:paraId="76CA68DF" w14:textId="77777777" w:rsidR="00623211" w:rsidRDefault="00623211" w:rsidP="00A8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3E"/>
    <w:rsid w:val="005974BC"/>
    <w:rsid w:val="00623211"/>
    <w:rsid w:val="00692CF1"/>
    <w:rsid w:val="00923CCA"/>
    <w:rsid w:val="009E63E6"/>
    <w:rsid w:val="00A13A34"/>
    <w:rsid w:val="00A26A6E"/>
    <w:rsid w:val="00A81F0D"/>
    <w:rsid w:val="00BF6F94"/>
    <w:rsid w:val="00C02AEB"/>
    <w:rsid w:val="00CA2A53"/>
    <w:rsid w:val="00E9203E"/>
    <w:rsid w:val="00F52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F8D9"/>
  <w15:chartTrackingRefBased/>
  <w15:docId w15:val="{A4D5BEAD-CE8C-4F91-A4B7-81B486D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3E"/>
    <w:pPr>
      <w:widowControl w:val="0"/>
    </w:pPr>
  </w:style>
  <w:style w:type="paragraph" w:styleId="1">
    <w:name w:val="heading 1"/>
    <w:basedOn w:val="a"/>
    <w:link w:val="10"/>
    <w:uiPriority w:val="9"/>
    <w:qFormat/>
    <w:rsid w:val="00A81F0D"/>
    <w:pPr>
      <w:autoSpaceDE w:val="0"/>
      <w:autoSpaceDN w:val="0"/>
      <w:spacing w:line="430" w:lineRule="exact"/>
      <w:ind w:left="1108"/>
      <w:outlineLvl w:val="0"/>
    </w:pPr>
    <w:rPr>
      <w:rFonts w:ascii="Yu Gothic UI" w:eastAsia="Yu Gothic UI" w:hAnsi="Yu Gothic UI" w:cs="Yu Gothic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0D"/>
    <w:pPr>
      <w:tabs>
        <w:tab w:val="center" w:pos="4153"/>
        <w:tab w:val="right" w:pos="8306"/>
      </w:tabs>
      <w:snapToGrid w:val="0"/>
    </w:pPr>
    <w:rPr>
      <w:sz w:val="20"/>
      <w:szCs w:val="20"/>
    </w:rPr>
  </w:style>
  <w:style w:type="character" w:customStyle="1" w:styleId="a4">
    <w:name w:val="頁首 字元"/>
    <w:basedOn w:val="a0"/>
    <w:link w:val="a3"/>
    <w:uiPriority w:val="99"/>
    <w:rsid w:val="00A81F0D"/>
    <w:rPr>
      <w:sz w:val="20"/>
      <w:szCs w:val="20"/>
    </w:rPr>
  </w:style>
  <w:style w:type="paragraph" w:styleId="a5">
    <w:name w:val="footer"/>
    <w:basedOn w:val="a"/>
    <w:link w:val="a6"/>
    <w:uiPriority w:val="99"/>
    <w:unhideWhenUsed/>
    <w:rsid w:val="00A81F0D"/>
    <w:pPr>
      <w:tabs>
        <w:tab w:val="center" w:pos="4153"/>
        <w:tab w:val="right" w:pos="8306"/>
      </w:tabs>
      <w:snapToGrid w:val="0"/>
    </w:pPr>
    <w:rPr>
      <w:sz w:val="20"/>
      <w:szCs w:val="20"/>
    </w:rPr>
  </w:style>
  <w:style w:type="character" w:customStyle="1" w:styleId="a6">
    <w:name w:val="頁尾 字元"/>
    <w:basedOn w:val="a0"/>
    <w:link w:val="a5"/>
    <w:uiPriority w:val="99"/>
    <w:rsid w:val="00A81F0D"/>
    <w:rPr>
      <w:sz w:val="20"/>
      <w:szCs w:val="20"/>
    </w:rPr>
  </w:style>
  <w:style w:type="character" w:customStyle="1" w:styleId="10">
    <w:name w:val="標題 1 字元"/>
    <w:basedOn w:val="a0"/>
    <w:link w:val="1"/>
    <w:uiPriority w:val="9"/>
    <w:rsid w:val="00A81F0D"/>
    <w:rPr>
      <w:rFonts w:ascii="Yu Gothic UI" w:eastAsia="Yu Gothic UI" w:hAnsi="Yu Gothic UI" w:cs="Yu Gothic UI"/>
      <w:b/>
      <w:bCs/>
      <w:kern w:val="0"/>
      <w:sz w:val="28"/>
      <w:szCs w:val="28"/>
    </w:rPr>
  </w:style>
  <w:style w:type="table" w:customStyle="1" w:styleId="TableNormal">
    <w:name w:val="Table Normal"/>
    <w:uiPriority w:val="2"/>
    <w:semiHidden/>
    <w:unhideWhenUsed/>
    <w:qFormat/>
    <w:rsid w:val="00A81F0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A81F0D"/>
    <w:pPr>
      <w:autoSpaceDE w:val="0"/>
      <w:autoSpaceDN w:val="0"/>
      <w:ind w:left="710" w:hanging="498"/>
    </w:pPr>
    <w:rPr>
      <w:rFonts w:ascii="SimSun" w:eastAsia="SimSun" w:hAnsi="SimSun" w:cs="SimSun"/>
      <w:kern w:val="0"/>
      <w:szCs w:val="24"/>
    </w:rPr>
  </w:style>
  <w:style w:type="character" w:customStyle="1" w:styleId="a8">
    <w:name w:val="本文 字元"/>
    <w:basedOn w:val="a0"/>
    <w:link w:val="a7"/>
    <w:uiPriority w:val="1"/>
    <w:rsid w:val="00A81F0D"/>
    <w:rPr>
      <w:rFonts w:ascii="SimSun" w:eastAsia="SimSun" w:hAnsi="SimSun" w:cs="SimSun"/>
      <w:kern w:val="0"/>
      <w:szCs w:val="24"/>
    </w:rPr>
  </w:style>
  <w:style w:type="paragraph" w:customStyle="1" w:styleId="TableParagraph">
    <w:name w:val="Table Paragraph"/>
    <w:basedOn w:val="a"/>
    <w:uiPriority w:val="1"/>
    <w:qFormat/>
    <w:rsid w:val="00A81F0D"/>
    <w:pPr>
      <w:autoSpaceDE w:val="0"/>
      <w:autoSpaceDN w:val="0"/>
      <w:ind w:left="107"/>
    </w:pPr>
    <w:rPr>
      <w:rFonts w:ascii="SimSun" w:eastAsia="SimSun" w:hAnsi="SimSun" w:cs="SimSun"/>
      <w:kern w:val="0"/>
      <w:sz w:val="22"/>
    </w:rPr>
  </w:style>
  <w:style w:type="paragraph" w:styleId="a9">
    <w:name w:val="Revision"/>
    <w:hidden/>
    <w:uiPriority w:val="99"/>
    <w:semiHidden/>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2023-11-20T06:30:00Z</dcterms:created>
  <dcterms:modified xsi:type="dcterms:W3CDTF">2023-11-20T06:30:00Z</dcterms:modified>
</cp:coreProperties>
</file>